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B278" w14:textId="77777777" w:rsidR="005D0266" w:rsidRDefault="005D0266" w:rsidP="005D0266">
      <w:pPr>
        <w:pStyle w:val="Header"/>
      </w:pPr>
      <w:r>
        <w:rPr>
          <w:noProof/>
        </w:rPr>
        <mc:AlternateContent>
          <mc:Choice Requires="wps">
            <w:drawing>
              <wp:anchor distT="0" distB="0" distL="114300" distR="114300" simplePos="0" relativeHeight="251659264" behindDoc="0" locked="0" layoutInCell="1" allowOverlap="1" wp14:anchorId="0F4F9C5C" wp14:editId="7C2E3841">
                <wp:simplePos x="0" y="0"/>
                <wp:positionH relativeFrom="column">
                  <wp:posOffset>1473835</wp:posOffset>
                </wp:positionH>
                <wp:positionV relativeFrom="paragraph">
                  <wp:posOffset>-88900</wp:posOffset>
                </wp:positionV>
                <wp:extent cx="3220720" cy="382270"/>
                <wp:effectExtent l="6985" t="6350" r="77470" b="781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822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07B6B1E" w14:textId="77777777" w:rsidR="005D0266" w:rsidRPr="00720FEC" w:rsidRDefault="005D0266" w:rsidP="005D0266">
                            <w:pPr>
                              <w:jc w:val="center"/>
                              <w:rPr>
                                <w:sz w:val="32"/>
                                <w:szCs w:val="32"/>
                              </w:rPr>
                            </w:pPr>
                            <w:r w:rsidRPr="00720FEC">
                              <w:rPr>
                                <w:sz w:val="32"/>
                                <w:szCs w:val="32"/>
                              </w:rPr>
                              <w:t>Security 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F9C5C" id="_x0000_t202" coordsize="21600,21600" o:spt="202" path="m,l,21600r21600,l21600,xe">
                <v:stroke joinstyle="miter"/>
                <v:path gradientshapeok="t" o:connecttype="rect"/>
              </v:shapetype>
              <v:shape id="Text Box 17" o:spid="_x0000_s1026" type="#_x0000_t202" style="position:absolute;margin-left:116.05pt;margin-top:-7pt;width:253.6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">
                <v:shadow on="t" opacity=".5" offset="6pt,6pt"/>
                <v:textbox>
                  <w:txbxContent>
                    <w:p w14:paraId="207B6B1E" w14:textId="77777777" w:rsidR="005D0266" w:rsidRPr="00720FEC" w:rsidRDefault="005D0266" w:rsidP="005D0266">
                      <w:pPr>
                        <w:jc w:val="center"/>
                        <w:rPr>
                          <w:sz w:val="32"/>
                          <w:szCs w:val="32"/>
                        </w:rPr>
                      </w:pPr>
                      <w:r w:rsidRPr="00720FEC">
                        <w:rPr>
                          <w:sz w:val="32"/>
                          <w:szCs w:val="32"/>
                        </w:rPr>
                        <w:t>Security Policies and Procedures</w:t>
                      </w:r>
                    </w:p>
                  </w:txbxContent>
                </v:textbox>
              </v:shape>
            </w:pict>
          </mc:Fallback>
        </mc:AlternateContent>
      </w:r>
    </w:p>
    <w:p w14:paraId="4945A173" w14:textId="77777777" w:rsidR="005D0266" w:rsidRDefault="005D0266" w:rsidP="005D0266">
      <w:pPr>
        <w:pStyle w:val="Header"/>
      </w:pPr>
    </w:p>
    <w:p w14:paraId="1B218215" w14:textId="77777777" w:rsidR="00422471" w:rsidRPr="00FE58F4" w:rsidRDefault="00422471" w:rsidP="00422471">
      <w:pPr>
        <w:autoSpaceDE w:val="0"/>
        <w:autoSpaceDN w:val="0"/>
        <w:adjustRightInd w:val="0"/>
        <w:rPr>
          <w:rFonts w:ascii="Arial" w:hAnsi="Arial" w:cs="Arial"/>
          <w:sz w:val="24"/>
          <w:szCs w:val="24"/>
        </w:rPr>
      </w:pPr>
    </w:p>
    <w:p w14:paraId="11F16946" w14:textId="4CDB0B87" w:rsidR="00422471" w:rsidRDefault="00422471" w:rsidP="00422471">
      <w:pPr>
        <w:rPr>
          <w:rFonts w:cstheme="minorHAnsi"/>
          <w:b/>
        </w:rPr>
      </w:pPr>
    </w:p>
    <w:p w14:paraId="0A560DD1" w14:textId="225CC140" w:rsidR="00422471" w:rsidRDefault="00422471" w:rsidP="00422471">
      <w:pPr>
        <w:rPr>
          <w:rFonts w:cstheme="minorHAnsi"/>
          <w:b/>
        </w:rPr>
      </w:pPr>
    </w:p>
    <w:p w14:paraId="5B6E822D" w14:textId="77777777" w:rsidR="00422471" w:rsidRDefault="00422471" w:rsidP="00422471">
      <w:pPr>
        <w:rPr>
          <w:rFonts w:cstheme="minorHAnsi"/>
          <w:b/>
        </w:rPr>
      </w:pPr>
    </w:p>
    <w:p w14:paraId="756067CF" w14:textId="6B840214" w:rsidR="00422471" w:rsidRPr="00422471" w:rsidRDefault="00422471" w:rsidP="00215929">
      <w:pPr>
        <w:spacing w:line="360" w:lineRule="auto"/>
        <w:rPr>
          <w:rFonts w:ascii="Arial" w:hAnsi="Arial" w:cs="Arial"/>
          <w:b/>
          <w:sz w:val="24"/>
          <w:szCs w:val="24"/>
        </w:rPr>
      </w:pPr>
      <w:bookmarkStart w:id="0" w:name="RiskAnalyss"/>
      <w:bookmarkEnd w:id="0"/>
      <w:r w:rsidRPr="00422471">
        <w:rPr>
          <w:rFonts w:ascii="Arial" w:hAnsi="Arial" w:cs="Arial"/>
          <w:b/>
          <w:sz w:val="24"/>
          <w:szCs w:val="24"/>
        </w:rPr>
        <w:t xml:space="preserve">Policy Title:  </w:t>
      </w:r>
      <w:r w:rsidRPr="00422471">
        <w:rPr>
          <w:rFonts w:ascii="Arial" w:hAnsi="Arial" w:cs="Arial"/>
          <w:b/>
          <w:sz w:val="24"/>
          <w:szCs w:val="24"/>
        </w:rPr>
        <w:tab/>
      </w:r>
      <w:r w:rsidR="00215929">
        <w:rPr>
          <w:rFonts w:ascii="Arial" w:hAnsi="Arial" w:cs="Arial"/>
          <w:sz w:val="24"/>
          <w:szCs w:val="24"/>
        </w:rPr>
        <w:t>Security Breach Notification</w:t>
      </w:r>
    </w:p>
    <w:p w14:paraId="0E7B780C" w14:textId="6E1F60A4" w:rsidR="00422471" w:rsidRPr="00422471" w:rsidRDefault="00422471" w:rsidP="00215929">
      <w:pPr>
        <w:spacing w:line="360" w:lineRule="auto"/>
        <w:rPr>
          <w:rFonts w:ascii="Arial" w:hAnsi="Arial" w:cs="Arial"/>
          <w:sz w:val="24"/>
          <w:szCs w:val="24"/>
        </w:rPr>
      </w:pPr>
      <w:r w:rsidRPr="00422471">
        <w:rPr>
          <w:rFonts w:ascii="Arial" w:hAnsi="Arial" w:cs="Arial"/>
          <w:sz w:val="24"/>
          <w:szCs w:val="24"/>
        </w:rPr>
        <w:t xml:space="preserve">Policy Number:  </w:t>
      </w:r>
      <w:r w:rsidRPr="00422471">
        <w:rPr>
          <w:rFonts w:ascii="Arial" w:hAnsi="Arial" w:cs="Arial"/>
          <w:sz w:val="24"/>
          <w:szCs w:val="24"/>
        </w:rPr>
        <w:tab/>
      </w:r>
      <w:r w:rsidRPr="00422471">
        <w:rPr>
          <w:rFonts w:ascii="Arial" w:hAnsi="Arial" w:cs="Arial"/>
          <w:sz w:val="24"/>
          <w:szCs w:val="24"/>
        </w:rPr>
        <w:tab/>
      </w:r>
      <w:r w:rsidRPr="00422471">
        <w:rPr>
          <w:rFonts w:ascii="Arial" w:hAnsi="Arial" w:cs="Arial"/>
          <w:sz w:val="24"/>
          <w:szCs w:val="24"/>
        </w:rPr>
        <w:tab/>
      </w:r>
      <w:r w:rsidRPr="00422471">
        <w:rPr>
          <w:rFonts w:ascii="Arial" w:hAnsi="Arial" w:cs="Arial"/>
          <w:sz w:val="24"/>
          <w:szCs w:val="24"/>
        </w:rPr>
        <w:tab/>
      </w:r>
      <w:r w:rsidR="00215929">
        <w:rPr>
          <w:rFonts w:ascii="Arial" w:hAnsi="Arial" w:cs="Arial"/>
          <w:sz w:val="24"/>
          <w:szCs w:val="24"/>
        </w:rPr>
        <w:tab/>
      </w:r>
      <w:r w:rsidR="00215929">
        <w:rPr>
          <w:rFonts w:ascii="Arial" w:hAnsi="Arial" w:cs="Arial"/>
          <w:sz w:val="24"/>
          <w:szCs w:val="24"/>
        </w:rPr>
        <w:tab/>
      </w:r>
      <w:r w:rsidRPr="00422471">
        <w:rPr>
          <w:rFonts w:ascii="Arial" w:hAnsi="Arial" w:cs="Arial"/>
          <w:sz w:val="24"/>
          <w:szCs w:val="24"/>
        </w:rPr>
        <w:t>Effective Date</w:t>
      </w:r>
      <w:r w:rsidR="00215929">
        <w:rPr>
          <w:rFonts w:ascii="Arial" w:hAnsi="Arial" w:cs="Arial"/>
          <w:sz w:val="24"/>
          <w:szCs w:val="24"/>
        </w:rPr>
        <w:t>:</w:t>
      </w:r>
      <w:r w:rsidRPr="00422471">
        <w:rPr>
          <w:rFonts w:ascii="Arial" w:hAnsi="Arial" w:cs="Arial"/>
          <w:sz w:val="24"/>
          <w:szCs w:val="24"/>
        </w:rPr>
        <w:tab/>
      </w:r>
      <w:r w:rsidRPr="00422471">
        <w:rPr>
          <w:rFonts w:ascii="Arial" w:hAnsi="Arial" w:cs="Arial"/>
          <w:sz w:val="24"/>
          <w:szCs w:val="24"/>
        </w:rPr>
        <w:tab/>
      </w:r>
    </w:p>
    <w:p w14:paraId="4CF777AD" w14:textId="77777777" w:rsidR="00215929" w:rsidRDefault="00422471" w:rsidP="00215929">
      <w:pPr>
        <w:spacing w:line="360" w:lineRule="auto"/>
        <w:rPr>
          <w:rFonts w:ascii="Arial" w:hAnsi="Arial" w:cs="Arial"/>
          <w:sz w:val="24"/>
          <w:szCs w:val="24"/>
        </w:rPr>
      </w:pPr>
      <w:r w:rsidRPr="00422471">
        <w:rPr>
          <w:rFonts w:ascii="Arial" w:hAnsi="Arial" w:cs="Arial"/>
          <w:sz w:val="24"/>
          <w:szCs w:val="24"/>
        </w:rPr>
        <w:t>Date Last Revised</w:t>
      </w:r>
      <w:r w:rsidR="00215929">
        <w:rPr>
          <w:rFonts w:ascii="Arial" w:hAnsi="Arial" w:cs="Arial"/>
          <w:sz w:val="24"/>
          <w:szCs w:val="24"/>
        </w:rPr>
        <w:t>:</w:t>
      </w:r>
      <w:r w:rsidR="00215929">
        <w:rPr>
          <w:rFonts w:ascii="Arial" w:hAnsi="Arial" w:cs="Arial"/>
          <w:sz w:val="24"/>
          <w:szCs w:val="24"/>
        </w:rPr>
        <w:tab/>
      </w:r>
      <w:r w:rsidR="00215929">
        <w:rPr>
          <w:rFonts w:ascii="Arial" w:hAnsi="Arial" w:cs="Arial"/>
          <w:sz w:val="24"/>
          <w:szCs w:val="24"/>
        </w:rPr>
        <w:tab/>
      </w:r>
      <w:r w:rsidR="00215929">
        <w:rPr>
          <w:rFonts w:ascii="Arial" w:hAnsi="Arial" w:cs="Arial"/>
          <w:sz w:val="24"/>
          <w:szCs w:val="24"/>
        </w:rPr>
        <w:tab/>
      </w:r>
      <w:r w:rsidR="00215929">
        <w:rPr>
          <w:rFonts w:ascii="Arial" w:hAnsi="Arial" w:cs="Arial"/>
          <w:sz w:val="24"/>
          <w:szCs w:val="24"/>
        </w:rPr>
        <w:tab/>
      </w:r>
      <w:r w:rsidRPr="00422471">
        <w:rPr>
          <w:rFonts w:ascii="Arial" w:hAnsi="Arial" w:cs="Arial"/>
          <w:sz w:val="24"/>
          <w:szCs w:val="24"/>
        </w:rPr>
        <w:tab/>
      </w:r>
      <w:r w:rsidRPr="00422471">
        <w:rPr>
          <w:rFonts w:ascii="Arial" w:hAnsi="Arial" w:cs="Arial"/>
          <w:sz w:val="24"/>
          <w:szCs w:val="24"/>
        </w:rPr>
        <w:tab/>
        <w:t>Revision Number</w:t>
      </w:r>
      <w:r w:rsidR="00215929">
        <w:rPr>
          <w:rFonts w:ascii="Arial" w:hAnsi="Arial" w:cs="Arial"/>
          <w:sz w:val="24"/>
          <w:szCs w:val="24"/>
        </w:rPr>
        <w:t>:</w:t>
      </w:r>
    </w:p>
    <w:p w14:paraId="26A5E977" w14:textId="4CB718BA" w:rsidR="00422471" w:rsidRPr="00422471" w:rsidRDefault="00422471" w:rsidP="00215929">
      <w:pPr>
        <w:spacing w:line="360" w:lineRule="auto"/>
        <w:rPr>
          <w:rFonts w:ascii="Arial" w:hAnsi="Arial" w:cs="Arial"/>
          <w:sz w:val="24"/>
          <w:szCs w:val="24"/>
        </w:rPr>
      </w:pPr>
      <w:r w:rsidRPr="00422471">
        <w:rPr>
          <w:rFonts w:ascii="Arial" w:hAnsi="Arial" w:cs="Arial"/>
          <w:sz w:val="24"/>
          <w:szCs w:val="24"/>
        </w:rPr>
        <w:t xml:space="preserve">Approved/Reviewed by:    </w:t>
      </w:r>
    </w:p>
    <w:p w14:paraId="45FA442F" w14:textId="77777777" w:rsidR="00422471" w:rsidRPr="00422471" w:rsidRDefault="00422471" w:rsidP="00422471">
      <w:pPr>
        <w:pBdr>
          <w:bottom w:val="single" w:sz="4" w:space="1" w:color="auto"/>
        </w:pBdr>
        <w:rPr>
          <w:rFonts w:ascii="Arial" w:hAnsi="Arial" w:cs="Arial"/>
          <w:sz w:val="24"/>
          <w:szCs w:val="24"/>
        </w:rPr>
      </w:pPr>
    </w:p>
    <w:p w14:paraId="2D16A3A1" w14:textId="77777777" w:rsidR="00422471" w:rsidRPr="00422471" w:rsidRDefault="00422471" w:rsidP="00422471">
      <w:pPr>
        <w:rPr>
          <w:rFonts w:ascii="Arial" w:hAnsi="Arial" w:cs="Arial"/>
          <w:sz w:val="24"/>
          <w:szCs w:val="24"/>
        </w:rPr>
      </w:pPr>
    </w:p>
    <w:p w14:paraId="5129B2EA" w14:textId="04144AE5" w:rsidR="00422471" w:rsidRPr="00215929" w:rsidRDefault="00215929" w:rsidP="00215929">
      <w:pPr>
        <w:pStyle w:val="NormalWeb"/>
        <w:spacing w:line="276" w:lineRule="auto"/>
        <w:rPr>
          <w:rStyle w:val="Strong"/>
          <w:rFonts w:ascii="Arial" w:hAnsi="Arial" w:cs="Arial"/>
          <w:b w:val="0"/>
          <w:bCs w:val="0"/>
        </w:rPr>
      </w:pPr>
      <w:r>
        <w:rPr>
          <w:rStyle w:val="Strong"/>
          <w:rFonts w:ascii="Arial" w:hAnsi="Arial" w:cs="Arial"/>
        </w:rPr>
        <w:t xml:space="preserve">Policy:  </w:t>
      </w:r>
      <w:r>
        <w:rPr>
          <w:rStyle w:val="Strong"/>
          <w:rFonts w:ascii="Arial" w:hAnsi="Arial" w:cs="Arial"/>
          <w:b w:val="0"/>
          <w:bCs w:val="0"/>
        </w:rPr>
        <w:t xml:space="preserve">Company will comply with all federal and state laws and regulations requiring the notification of privacy and security breaches.  </w:t>
      </w:r>
    </w:p>
    <w:p w14:paraId="07F66A0D" w14:textId="20F92E4C" w:rsidR="00422471" w:rsidRPr="00FE58F4" w:rsidRDefault="00422471" w:rsidP="00215929">
      <w:pPr>
        <w:pStyle w:val="NormalWeb"/>
        <w:spacing w:line="276" w:lineRule="auto"/>
        <w:rPr>
          <w:rFonts w:ascii="Arial" w:hAnsi="Arial" w:cs="Arial"/>
        </w:rPr>
      </w:pPr>
      <w:r w:rsidRPr="00FE58F4">
        <w:rPr>
          <w:rStyle w:val="Strong"/>
          <w:rFonts w:ascii="Arial" w:hAnsi="Arial" w:cs="Arial"/>
        </w:rPr>
        <w:t>Definition</w:t>
      </w:r>
      <w:r w:rsidR="00D51EA5">
        <w:rPr>
          <w:rStyle w:val="Strong"/>
          <w:rFonts w:ascii="Arial" w:hAnsi="Arial" w:cs="Arial"/>
        </w:rPr>
        <w:t xml:space="preserve">s: </w:t>
      </w:r>
    </w:p>
    <w:p w14:paraId="134F25BB" w14:textId="753CD8D6" w:rsidR="00422471" w:rsidRDefault="00D51EA5" w:rsidP="00215929">
      <w:pPr>
        <w:pStyle w:val="NormalWeb"/>
        <w:spacing w:line="276" w:lineRule="auto"/>
        <w:rPr>
          <w:rFonts w:ascii="Arial" w:hAnsi="Arial" w:cs="Arial"/>
        </w:rPr>
      </w:pPr>
      <w:r w:rsidRPr="00D51EA5">
        <w:rPr>
          <w:rFonts w:ascii="Arial" w:hAnsi="Arial" w:cs="Arial"/>
          <w:b/>
          <w:bCs/>
        </w:rPr>
        <w:t>Breach</w:t>
      </w:r>
      <w:r>
        <w:rPr>
          <w:rFonts w:ascii="Arial" w:hAnsi="Arial" w:cs="Arial"/>
        </w:rPr>
        <w:t xml:space="preserve"> means </w:t>
      </w:r>
      <w:r w:rsidR="00422471" w:rsidRPr="00FE58F4">
        <w:rPr>
          <w:rFonts w:ascii="Arial" w:hAnsi="Arial" w:cs="Arial"/>
        </w:rPr>
        <w:t>generally, an impermissible use or disclosure under the Privacy Rule that compromises the security or privacy of the protected health information such that the use or disclosure poses a significant risk of financial, reputational, or other harm to the affected individual. </w:t>
      </w:r>
    </w:p>
    <w:p w14:paraId="2929B633" w14:textId="462E0DBA" w:rsidR="00D51EA5" w:rsidRDefault="00D51EA5" w:rsidP="00D51EA5">
      <w:pPr>
        <w:pStyle w:val="NormalWeb"/>
        <w:spacing w:line="276" w:lineRule="auto"/>
        <w:rPr>
          <w:rFonts w:ascii="Arial" w:hAnsi="Arial" w:cs="Arial"/>
          <w:bCs/>
          <w:i/>
          <w:iCs/>
        </w:rPr>
      </w:pPr>
      <w:r>
        <w:rPr>
          <w:rFonts w:ascii="Arial" w:hAnsi="Arial" w:cs="Arial"/>
        </w:rPr>
        <w:t xml:space="preserve">This includes when </w:t>
      </w:r>
      <w:r>
        <w:rPr>
          <w:rFonts w:ascii="Arial" w:hAnsi="Arial" w:cs="Arial"/>
          <w:bCs/>
        </w:rPr>
        <w:t xml:space="preserve">PHI has potentially been </w:t>
      </w:r>
      <w:r w:rsidRPr="00D51EA5">
        <w:rPr>
          <w:rFonts w:ascii="Arial" w:hAnsi="Arial" w:cs="Arial"/>
          <w:bCs/>
        </w:rPr>
        <w:t xml:space="preserve">accessed, acquired, used or disclosed </w:t>
      </w:r>
      <w:r w:rsidRPr="00D51EA5">
        <w:rPr>
          <w:rFonts w:ascii="Arial" w:hAnsi="Arial" w:cs="Arial"/>
          <w:bCs/>
          <w:i/>
          <w:iCs/>
        </w:rPr>
        <w:t>without authorization</w:t>
      </w:r>
      <w:r w:rsidRPr="00D51EA5">
        <w:rPr>
          <w:rFonts w:ascii="Arial" w:hAnsi="Arial" w:cs="Arial"/>
          <w:bCs/>
        </w:rPr>
        <w:t xml:space="preserve"> or for reasons </w:t>
      </w:r>
      <w:r w:rsidRPr="00D51EA5">
        <w:rPr>
          <w:rFonts w:ascii="Arial" w:hAnsi="Arial" w:cs="Arial"/>
          <w:bCs/>
          <w:i/>
          <w:iCs/>
        </w:rPr>
        <w:t>unrelated to treatment, payment or healthcare operations,</w:t>
      </w:r>
      <w:r w:rsidRPr="00D51EA5">
        <w:rPr>
          <w:rFonts w:ascii="Arial" w:hAnsi="Arial" w:cs="Arial"/>
          <w:bCs/>
        </w:rPr>
        <w:t xml:space="preserve"> including where an administrative error has led to a </w:t>
      </w:r>
      <w:r w:rsidRPr="00D51EA5">
        <w:rPr>
          <w:rFonts w:ascii="Arial" w:hAnsi="Arial" w:cs="Arial"/>
          <w:bCs/>
          <w:i/>
          <w:iCs/>
        </w:rPr>
        <w:t>greater than “minimum necessary” use, access or disclosure of PHI</w:t>
      </w:r>
      <w:r>
        <w:rPr>
          <w:rFonts w:ascii="Arial" w:hAnsi="Arial" w:cs="Arial"/>
          <w:bCs/>
          <w:i/>
          <w:iCs/>
        </w:rPr>
        <w:t>.</w:t>
      </w:r>
    </w:p>
    <w:p w14:paraId="4FBA87DA" w14:textId="77777777" w:rsidR="00D51EA5" w:rsidRPr="00D51EA5" w:rsidRDefault="00D51EA5" w:rsidP="00D51EA5">
      <w:pPr>
        <w:pStyle w:val="NormalWeb"/>
        <w:spacing w:line="276" w:lineRule="auto"/>
        <w:rPr>
          <w:rFonts w:ascii="Arial" w:hAnsi="Arial" w:cs="Arial"/>
          <w:b/>
        </w:rPr>
      </w:pPr>
      <w:r>
        <w:rPr>
          <w:rFonts w:ascii="Arial" w:hAnsi="Arial" w:cs="Arial"/>
          <w:b/>
        </w:rPr>
        <w:t xml:space="preserve">Unsecured PHI </w:t>
      </w:r>
      <w:r>
        <w:rPr>
          <w:rFonts w:ascii="Arial" w:hAnsi="Arial" w:cs="Arial"/>
          <w:bCs/>
        </w:rPr>
        <w:t xml:space="preserve">means the PHI was </w:t>
      </w:r>
      <w:r w:rsidRPr="00FE58F4">
        <w:rPr>
          <w:rFonts w:ascii="Arial" w:hAnsi="Arial" w:cs="Arial"/>
        </w:rPr>
        <w:t xml:space="preserve">available to an unauthorized individual </w:t>
      </w:r>
      <w:r w:rsidRPr="00215929">
        <w:rPr>
          <w:rFonts w:ascii="Arial" w:hAnsi="Arial" w:cs="Arial"/>
          <w:i/>
          <w:iCs/>
        </w:rPr>
        <w:t>without</w:t>
      </w:r>
      <w:r w:rsidRPr="00FE58F4">
        <w:rPr>
          <w:rFonts w:ascii="Arial" w:hAnsi="Arial" w:cs="Arial"/>
        </w:rPr>
        <w:t xml:space="preserve"> being first rendered unusable, unreadable, or indecipherable to through the use of encryption or destruction technologies and methodologies</w:t>
      </w:r>
      <w:r>
        <w:rPr>
          <w:rFonts w:ascii="Arial" w:hAnsi="Arial" w:cs="Arial"/>
        </w:rPr>
        <w:t>.</w:t>
      </w:r>
    </w:p>
    <w:p w14:paraId="6AAC9723" w14:textId="27D6FDE3" w:rsidR="00316596" w:rsidRDefault="009354A7" w:rsidP="00215929">
      <w:pPr>
        <w:pStyle w:val="NormalWeb"/>
        <w:spacing w:line="276" w:lineRule="auto"/>
        <w:rPr>
          <w:rFonts w:ascii="Arial" w:hAnsi="Arial" w:cs="Arial"/>
        </w:rPr>
      </w:pPr>
      <w:r w:rsidRPr="00F86334">
        <w:rPr>
          <w:rFonts w:ascii="Arial" w:hAnsi="Arial" w:cs="Arial"/>
          <w:b/>
          <w:bCs/>
        </w:rPr>
        <w:t>Law Enforcement Delay</w:t>
      </w:r>
      <w:r>
        <w:rPr>
          <w:rFonts w:ascii="Arial" w:hAnsi="Arial" w:cs="Arial"/>
        </w:rPr>
        <w:t xml:space="preserve"> means </w:t>
      </w:r>
      <w:r w:rsidR="00F86334">
        <w:rPr>
          <w:rFonts w:ascii="Arial" w:hAnsi="Arial" w:cs="Arial"/>
        </w:rPr>
        <w:t xml:space="preserve">a </w:t>
      </w:r>
      <w:r w:rsidR="00F86334" w:rsidRPr="00F86334">
        <w:rPr>
          <w:rFonts w:ascii="Arial" w:hAnsi="Arial" w:cs="Arial"/>
        </w:rPr>
        <w:t xml:space="preserve">request </w:t>
      </w:r>
      <w:r w:rsidR="00F86334">
        <w:rPr>
          <w:rFonts w:ascii="Arial" w:hAnsi="Arial" w:cs="Arial"/>
        </w:rPr>
        <w:t xml:space="preserve">by law enforcement </w:t>
      </w:r>
      <w:r w:rsidR="00F86334" w:rsidRPr="00F86334">
        <w:rPr>
          <w:rFonts w:ascii="Arial" w:hAnsi="Arial" w:cs="Arial"/>
        </w:rPr>
        <w:t xml:space="preserve">to delay breach notification for 30 days, or longer if notification would compromise a notification or other law enforcement activity.  </w:t>
      </w:r>
    </w:p>
    <w:p w14:paraId="649F38AB" w14:textId="5B57B3DC" w:rsidR="007D4D25" w:rsidRPr="00DD3283" w:rsidRDefault="007D4D25" w:rsidP="00215929">
      <w:pPr>
        <w:pStyle w:val="NormalWeb"/>
        <w:spacing w:line="276" w:lineRule="auto"/>
        <w:rPr>
          <w:rFonts w:ascii="Arial" w:hAnsi="Arial" w:cs="Arial"/>
          <w:b/>
          <w:bCs/>
        </w:rPr>
      </w:pPr>
      <w:r w:rsidRPr="00DD3283">
        <w:rPr>
          <w:rFonts w:ascii="Arial" w:hAnsi="Arial" w:cs="Arial"/>
          <w:b/>
          <w:bCs/>
        </w:rPr>
        <w:t>Protected Health Information (PHI) includes:</w:t>
      </w:r>
    </w:p>
    <w:p w14:paraId="5CCD21E2" w14:textId="77777777" w:rsidR="007D4D25" w:rsidRDefault="007D4D25" w:rsidP="00CE11D9">
      <w:pPr>
        <w:pStyle w:val="NormalWeb"/>
        <w:numPr>
          <w:ilvl w:val="0"/>
          <w:numId w:val="11"/>
        </w:numPr>
        <w:spacing w:line="276" w:lineRule="auto"/>
        <w:rPr>
          <w:rFonts w:ascii="Arial" w:hAnsi="Arial" w:cs="Arial"/>
        </w:rPr>
      </w:pPr>
      <w:r w:rsidRPr="007D4D25">
        <w:rPr>
          <w:rFonts w:ascii="Arial" w:hAnsi="Arial" w:cs="Arial"/>
        </w:rPr>
        <w:t>Name</w:t>
      </w:r>
    </w:p>
    <w:p w14:paraId="44D04A45" w14:textId="77777777" w:rsidR="00756239" w:rsidRDefault="007D4D25" w:rsidP="00915C81">
      <w:pPr>
        <w:pStyle w:val="NormalWeb"/>
        <w:numPr>
          <w:ilvl w:val="0"/>
          <w:numId w:val="11"/>
        </w:numPr>
        <w:spacing w:line="276" w:lineRule="auto"/>
        <w:rPr>
          <w:rFonts w:ascii="Arial" w:hAnsi="Arial" w:cs="Arial"/>
        </w:rPr>
      </w:pPr>
      <w:r w:rsidRPr="007D4D25">
        <w:rPr>
          <w:rFonts w:ascii="Arial" w:hAnsi="Arial" w:cs="Arial"/>
        </w:rPr>
        <w:t>Street address, city, county, state and zip code</w:t>
      </w:r>
    </w:p>
    <w:p w14:paraId="470A5A2E" w14:textId="77777777" w:rsidR="00756239" w:rsidRDefault="007D4D25" w:rsidP="00756239">
      <w:pPr>
        <w:pStyle w:val="NormalWeb"/>
        <w:numPr>
          <w:ilvl w:val="0"/>
          <w:numId w:val="11"/>
        </w:numPr>
        <w:spacing w:line="276" w:lineRule="auto"/>
        <w:rPr>
          <w:rFonts w:ascii="Arial" w:hAnsi="Arial" w:cs="Arial"/>
        </w:rPr>
      </w:pPr>
      <w:r w:rsidRPr="007D4D25">
        <w:rPr>
          <w:rFonts w:ascii="Arial" w:hAnsi="Arial" w:cs="Arial"/>
        </w:rPr>
        <w:lastRenderedPageBreak/>
        <w:t>All elements of dates (except year) for dates directly related to an individual, including date of birth, admission date, discharge date, date of death; and all ages over 89 and all elements of dates (including year) indicative of such age, except that such ages and elements may be aggregated into single category of age 90 or older</w:t>
      </w:r>
    </w:p>
    <w:p w14:paraId="3186526B"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Phone numbers</w:t>
      </w:r>
    </w:p>
    <w:p w14:paraId="79226772"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Fax numbers</w:t>
      </w:r>
    </w:p>
    <w:p w14:paraId="603B6A96"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 xml:space="preserve">Email addresses </w:t>
      </w:r>
    </w:p>
    <w:p w14:paraId="4EB76026"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Social security numbers</w:t>
      </w:r>
    </w:p>
    <w:p w14:paraId="091D4DD8" w14:textId="2B4E001B"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 xml:space="preserve">Medical record </w:t>
      </w:r>
      <w:r w:rsidR="00756239">
        <w:rPr>
          <w:rFonts w:ascii="Arial" w:hAnsi="Arial" w:cs="Arial"/>
        </w:rPr>
        <w:t xml:space="preserve">and account </w:t>
      </w:r>
      <w:r w:rsidRPr="00756239">
        <w:rPr>
          <w:rFonts w:ascii="Arial" w:hAnsi="Arial" w:cs="Arial"/>
        </w:rPr>
        <w:t>number</w:t>
      </w:r>
      <w:r w:rsidR="00756239">
        <w:rPr>
          <w:rFonts w:ascii="Arial" w:hAnsi="Arial" w:cs="Arial"/>
        </w:rPr>
        <w:t>s</w:t>
      </w:r>
    </w:p>
    <w:p w14:paraId="4723537B"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Health plan beneficiary numbers</w:t>
      </w:r>
    </w:p>
    <w:p w14:paraId="1ADDEBCA"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Certificate/license numbers</w:t>
      </w:r>
    </w:p>
    <w:p w14:paraId="2EACAC49"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 xml:space="preserve">Vehicles identifiers and serial numbers, including license plate numbers </w:t>
      </w:r>
    </w:p>
    <w:p w14:paraId="28522983"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 xml:space="preserve">Device identifiers and serial numbers </w:t>
      </w:r>
    </w:p>
    <w:p w14:paraId="215E0C46"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Web Universal Resource Locators (URL’s)</w:t>
      </w:r>
    </w:p>
    <w:p w14:paraId="11347F89" w14:textId="77777777" w:rsidR="00756239" w:rsidRDefault="007D4D25" w:rsidP="007D4D25">
      <w:pPr>
        <w:pStyle w:val="NormalWeb"/>
        <w:numPr>
          <w:ilvl w:val="0"/>
          <w:numId w:val="11"/>
        </w:numPr>
        <w:spacing w:line="276" w:lineRule="auto"/>
        <w:rPr>
          <w:rFonts w:ascii="Arial" w:hAnsi="Arial" w:cs="Arial"/>
        </w:rPr>
      </w:pPr>
      <w:r w:rsidRPr="00756239">
        <w:rPr>
          <w:rFonts w:ascii="Arial" w:hAnsi="Arial" w:cs="Arial"/>
        </w:rPr>
        <w:t xml:space="preserve">Internet protocol (IP) address numbers </w:t>
      </w:r>
    </w:p>
    <w:p w14:paraId="0BBC2271" w14:textId="77777777" w:rsidR="00DD3283" w:rsidRDefault="007D4D25" w:rsidP="007D4D25">
      <w:pPr>
        <w:pStyle w:val="NormalWeb"/>
        <w:numPr>
          <w:ilvl w:val="0"/>
          <w:numId w:val="11"/>
        </w:numPr>
        <w:spacing w:line="276" w:lineRule="auto"/>
        <w:rPr>
          <w:rFonts w:ascii="Arial" w:hAnsi="Arial" w:cs="Arial"/>
        </w:rPr>
      </w:pPr>
      <w:r w:rsidRPr="00756239">
        <w:rPr>
          <w:rFonts w:ascii="Arial" w:hAnsi="Arial" w:cs="Arial"/>
        </w:rPr>
        <w:t xml:space="preserve">Full face photographic images and any comparable images; and any other unique identifying number, characteristic, or code (note this does not mean the unique code assigned by the investigator to code the data).  </w:t>
      </w:r>
    </w:p>
    <w:p w14:paraId="501BD15E" w14:textId="6007E654" w:rsidR="007D4D25" w:rsidRPr="00756239" w:rsidRDefault="007D4D25" w:rsidP="007D4D25">
      <w:pPr>
        <w:pStyle w:val="NormalWeb"/>
        <w:numPr>
          <w:ilvl w:val="0"/>
          <w:numId w:val="11"/>
        </w:numPr>
        <w:spacing w:line="276" w:lineRule="auto"/>
        <w:rPr>
          <w:rFonts w:ascii="Arial" w:hAnsi="Arial" w:cs="Arial"/>
        </w:rPr>
      </w:pPr>
      <w:r w:rsidRPr="00756239">
        <w:rPr>
          <w:rFonts w:ascii="Arial" w:hAnsi="Arial" w:cs="Arial"/>
        </w:rPr>
        <w:t>Genetic information, such as family history and test results.</w:t>
      </w:r>
    </w:p>
    <w:p w14:paraId="091CBB40" w14:textId="77777777" w:rsidR="007D4D25" w:rsidRPr="009354A7" w:rsidRDefault="007D4D25" w:rsidP="00215929">
      <w:pPr>
        <w:pStyle w:val="NormalWeb"/>
        <w:spacing w:line="276" w:lineRule="auto"/>
        <w:rPr>
          <w:rFonts w:ascii="Arial" w:hAnsi="Arial" w:cs="Arial"/>
        </w:rPr>
      </w:pPr>
    </w:p>
    <w:p w14:paraId="5E672277" w14:textId="015666A6" w:rsidR="00422471" w:rsidRPr="00FE58F4" w:rsidRDefault="00215929" w:rsidP="00215929">
      <w:pPr>
        <w:pStyle w:val="NormalWeb"/>
        <w:spacing w:line="276" w:lineRule="auto"/>
        <w:rPr>
          <w:rFonts w:ascii="Arial" w:hAnsi="Arial" w:cs="Arial"/>
        </w:rPr>
      </w:pPr>
      <w:r w:rsidRPr="00215929">
        <w:rPr>
          <w:rFonts w:ascii="Arial" w:hAnsi="Arial" w:cs="Arial"/>
          <w:b/>
          <w:bCs/>
        </w:rPr>
        <w:t>E</w:t>
      </w:r>
      <w:r w:rsidR="00422471" w:rsidRPr="00215929">
        <w:rPr>
          <w:rFonts w:ascii="Arial" w:hAnsi="Arial" w:cs="Arial"/>
          <w:b/>
          <w:bCs/>
        </w:rPr>
        <w:t>xceptions to the definition of “breach”</w:t>
      </w:r>
      <w:r>
        <w:rPr>
          <w:rFonts w:ascii="Arial" w:hAnsi="Arial" w:cs="Arial"/>
          <w:b/>
          <w:bCs/>
        </w:rPr>
        <w:t>:</w:t>
      </w:r>
    </w:p>
    <w:p w14:paraId="35A21D87" w14:textId="77777777" w:rsidR="00422471" w:rsidRPr="00FE58F4" w:rsidRDefault="00422471" w:rsidP="00215929">
      <w:pPr>
        <w:pStyle w:val="NormalWeb"/>
        <w:numPr>
          <w:ilvl w:val="0"/>
          <w:numId w:val="1"/>
        </w:numPr>
        <w:spacing w:line="276" w:lineRule="auto"/>
        <w:rPr>
          <w:rFonts w:ascii="Arial" w:hAnsi="Arial" w:cs="Arial"/>
        </w:rPr>
      </w:pPr>
      <w:r w:rsidRPr="00FE58F4">
        <w:rPr>
          <w:rFonts w:ascii="Arial" w:hAnsi="Arial" w:cs="Arial"/>
        </w:rPr>
        <w:t>The unintentional acquisition, access, or use of protected health information by a workforce member acting under the authority of a covered entity or business associate</w:t>
      </w:r>
    </w:p>
    <w:p w14:paraId="275385E8" w14:textId="77B1ED6B" w:rsidR="00422471" w:rsidRDefault="00422471" w:rsidP="00215929">
      <w:pPr>
        <w:pStyle w:val="NormalWeb"/>
        <w:numPr>
          <w:ilvl w:val="0"/>
          <w:numId w:val="1"/>
        </w:numPr>
        <w:spacing w:line="276" w:lineRule="auto"/>
        <w:rPr>
          <w:rFonts w:ascii="Arial" w:hAnsi="Arial" w:cs="Arial"/>
        </w:rPr>
      </w:pPr>
      <w:r w:rsidRPr="00FE58F4">
        <w:rPr>
          <w:rFonts w:ascii="Arial" w:hAnsi="Arial" w:cs="Arial"/>
        </w:rPr>
        <w:t>The inadvertent disclosure of protected health information from a person authorized to access protected health information at a covered entity or business associate to another person authorized to access protected health information at the covered entity or business associate.  In both cases, the information cannot be further used or disclosed in a manner not permitted by the Privacy Rule  </w:t>
      </w:r>
    </w:p>
    <w:p w14:paraId="6BD17580" w14:textId="77777777" w:rsidR="00215929" w:rsidRPr="00FE58F4" w:rsidRDefault="00215929" w:rsidP="00215929">
      <w:pPr>
        <w:pStyle w:val="NormalWeb"/>
        <w:spacing w:line="276" w:lineRule="auto"/>
        <w:rPr>
          <w:rFonts w:ascii="Arial" w:hAnsi="Arial" w:cs="Arial"/>
        </w:rPr>
      </w:pPr>
      <w:r>
        <w:rPr>
          <w:rFonts w:ascii="Arial" w:hAnsi="Arial" w:cs="Arial"/>
        </w:rPr>
        <w:t xml:space="preserve">Note:  In both of the above situations, the PHI </w:t>
      </w:r>
      <w:r w:rsidRPr="00FE58F4">
        <w:rPr>
          <w:rFonts w:ascii="Arial" w:hAnsi="Arial" w:cs="Arial"/>
        </w:rPr>
        <w:t>cannot be further used or disclosed in a manner not permitted by the Privacy Rule.  </w:t>
      </w:r>
    </w:p>
    <w:p w14:paraId="4A44E228" w14:textId="77777777" w:rsidR="00422471" w:rsidRPr="00FE58F4" w:rsidRDefault="00422471" w:rsidP="00215929">
      <w:pPr>
        <w:pStyle w:val="NormalWeb"/>
        <w:numPr>
          <w:ilvl w:val="0"/>
          <w:numId w:val="1"/>
        </w:numPr>
        <w:spacing w:line="276" w:lineRule="auto"/>
        <w:rPr>
          <w:rFonts w:ascii="Arial" w:hAnsi="Arial" w:cs="Arial"/>
        </w:rPr>
      </w:pPr>
      <w:r w:rsidRPr="00FE58F4">
        <w:rPr>
          <w:rFonts w:ascii="Arial" w:hAnsi="Arial" w:cs="Arial"/>
        </w:rPr>
        <w:t>The covered entity or business associate has a good faith belief that the unauthorized individual, to whom the impermissible disclosure was made, would not have been able to retain the information</w:t>
      </w:r>
    </w:p>
    <w:p w14:paraId="17AC9A67" w14:textId="387F1475" w:rsidR="00215929" w:rsidRDefault="00215929" w:rsidP="00215929">
      <w:pPr>
        <w:spacing w:before="100" w:beforeAutospacing="1" w:after="100" w:afterAutospacing="1" w:line="276" w:lineRule="auto"/>
        <w:rPr>
          <w:rFonts w:ascii="Arial" w:hAnsi="Arial" w:cs="Arial"/>
          <w:b/>
          <w:sz w:val="24"/>
          <w:szCs w:val="24"/>
        </w:rPr>
      </w:pPr>
    </w:p>
    <w:p w14:paraId="7E409DCC" w14:textId="57E220D9" w:rsidR="00215929" w:rsidRDefault="00215929" w:rsidP="00215929">
      <w:pPr>
        <w:spacing w:before="100" w:beforeAutospacing="1" w:after="100" w:afterAutospacing="1" w:line="276" w:lineRule="auto"/>
        <w:rPr>
          <w:rFonts w:ascii="Arial" w:hAnsi="Arial" w:cs="Arial"/>
          <w:b/>
          <w:sz w:val="24"/>
          <w:szCs w:val="24"/>
        </w:rPr>
      </w:pPr>
      <w:r>
        <w:rPr>
          <w:rFonts w:ascii="Arial" w:hAnsi="Arial" w:cs="Arial"/>
          <w:b/>
          <w:sz w:val="24"/>
          <w:szCs w:val="24"/>
        </w:rPr>
        <w:t>Procedures:</w:t>
      </w:r>
    </w:p>
    <w:p w14:paraId="1912F96E" w14:textId="3D6B4E4E" w:rsidR="00215929" w:rsidRPr="00D51EA5" w:rsidRDefault="00215929" w:rsidP="00D51EA5">
      <w:pPr>
        <w:pStyle w:val="ListParagraph"/>
        <w:numPr>
          <w:ilvl w:val="0"/>
          <w:numId w:val="8"/>
        </w:numPr>
        <w:spacing w:before="100" w:beforeAutospacing="1" w:after="100" w:afterAutospacing="1" w:line="276" w:lineRule="auto"/>
        <w:rPr>
          <w:rFonts w:ascii="Arial" w:hAnsi="Arial" w:cs="Arial"/>
          <w:bCs/>
          <w:sz w:val="24"/>
          <w:szCs w:val="24"/>
        </w:rPr>
      </w:pPr>
      <w:r w:rsidRPr="00D51EA5">
        <w:rPr>
          <w:rFonts w:ascii="Arial" w:hAnsi="Arial" w:cs="Arial"/>
          <w:bCs/>
          <w:sz w:val="24"/>
          <w:szCs w:val="24"/>
        </w:rPr>
        <w:t>Reporting: Staff members must immediately report any actual or potential to the privacy, security or confidentiality of PHI or PI, in any format, to the Compliance Officer</w:t>
      </w:r>
      <w:r w:rsidR="00D51EA5" w:rsidRPr="00D51EA5">
        <w:rPr>
          <w:rFonts w:ascii="Arial" w:hAnsi="Arial" w:cs="Arial"/>
          <w:bCs/>
          <w:sz w:val="24"/>
          <w:szCs w:val="24"/>
        </w:rPr>
        <w:t>.</w:t>
      </w:r>
    </w:p>
    <w:p w14:paraId="65F32F52" w14:textId="21800201" w:rsidR="00D51EA5" w:rsidRDefault="00D51EA5" w:rsidP="00D51EA5">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bCs/>
          <w:sz w:val="24"/>
          <w:szCs w:val="24"/>
        </w:rPr>
        <w:t>Evaluate and Assess Risks:  Upon receiving a report about a potential privacy or security breach, either from a workforce member or a business associate (BA), Company will perform a Risk Assessment to determine whether the affected individual(s) and the Secretary of HHS must be notified.</w:t>
      </w:r>
    </w:p>
    <w:p w14:paraId="1002D4D1" w14:textId="5CA54AB6" w:rsidR="00215929" w:rsidRDefault="00D51EA5" w:rsidP="00D51EA5">
      <w:pPr>
        <w:pStyle w:val="ListParagraph"/>
        <w:numPr>
          <w:ilvl w:val="0"/>
          <w:numId w:val="8"/>
        </w:numPr>
        <w:spacing w:before="100" w:beforeAutospacing="1" w:after="100" w:afterAutospacing="1" w:line="276" w:lineRule="auto"/>
        <w:rPr>
          <w:rFonts w:ascii="Arial" w:hAnsi="Arial" w:cs="Arial"/>
          <w:bCs/>
          <w:sz w:val="24"/>
          <w:szCs w:val="24"/>
        </w:rPr>
      </w:pPr>
      <w:r w:rsidRPr="00D51EA5">
        <w:rPr>
          <w:rFonts w:ascii="Arial" w:hAnsi="Arial" w:cs="Arial"/>
          <w:bCs/>
          <w:sz w:val="24"/>
          <w:szCs w:val="24"/>
        </w:rPr>
        <w:t>Risk Assessment will include:</w:t>
      </w:r>
    </w:p>
    <w:p w14:paraId="352835E2" w14:textId="77777777" w:rsidR="00EA4141" w:rsidRPr="00EA4141" w:rsidRDefault="00EA4141" w:rsidP="00EA4141">
      <w:pPr>
        <w:pStyle w:val="ListParagraph"/>
        <w:numPr>
          <w:ilvl w:val="1"/>
          <w:numId w:val="8"/>
        </w:numPr>
        <w:spacing w:before="100" w:beforeAutospacing="1" w:after="100" w:afterAutospacing="1" w:line="276" w:lineRule="auto"/>
        <w:rPr>
          <w:rFonts w:ascii="Arial" w:hAnsi="Arial" w:cs="Arial"/>
          <w:bCs/>
          <w:sz w:val="24"/>
          <w:szCs w:val="24"/>
        </w:rPr>
      </w:pPr>
      <w:r w:rsidRPr="00EA4141">
        <w:rPr>
          <w:rFonts w:ascii="Arial" w:hAnsi="Arial" w:cs="Arial"/>
          <w:bCs/>
          <w:sz w:val="24"/>
          <w:szCs w:val="24"/>
        </w:rPr>
        <w:t>The nature and extent of the protected health information involved, including the types of identifiers and the likelihood of re-identification;</w:t>
      </w:r>
    </w:p>
    <w:p w14:paraId="62A7ECF3" w14:textId="77777777" w:rsidR="00EA4141" w:rsidRPr="00EA4141" w:rsidRDefault="00EA4141" w:rsidP="00EA4141">
      <w:pPr>
        <w:pStyle w:val="ListParagraph"/>
        <w:numPr>
          <w:ilvl w:val="1"/>
          <w:numId w:val="8"/>
        </w:numPr>
        <w:spacing w:before="100" w:beforeAutospacing="1" w:after="100" w:afterAutospacing="1" w:line="276" w:lineRule="auto"/>
        <w:rPr>
          <w:rFonts w:ascii="Arial" w:hAnsi="Arial" w:cs="Arial"/>
          <w:bCs/>
          <w:sz w:val="24"/>
          <w:szCs w:val="24"/>
        </w:rPr>
      </w:pPr>
      <w:r w:rsidRPr="00EA4141">
        <w:rPr>
          <w:rFonts w:ascii="Arial" w:hAnsi="Arial" w:cs="Arial"/>
          <w:bCs/>
          <w:sz w:val="24"/>
          <w:szCs w:val="24"/>
        </w:rPr>
        <w:t>The unauthorized person who used the protected health information or to whom the disclosure was made;</w:t>
      </w:r>
    </w:p>
    <w:p w14:paraId="5F3A1BEA" w14:textId="77777777" w:rsidR="00EA4141" w:rsidRPr="00EA4141" w:rsidRDefault="00EA4141" w:rsidP="00EA4141">
      <w:pPr>
        <w:pStyle w:val="ListParagraph"/>
        <w:numPr>
          <w:ilvl w:val="1"/>
          <w:numId w:val="8"/>
        </w:numPr>
        <w:spacing w:before="100" w:beforeAutospacing="1" w:after="100" w:afterAutospacing="1" w:line="276" w:lineRule="auto"/>
        <w:rPr>
          <w:rFonts w:ascii="Arial" w:hAnsi="Arial" w:cs="Arial"/>
          <w:bCs/>
          <w:sz w:val="24"/>
          <w:szCs w:val="24"/>
        </w:rPr>
      </w:pPr>
      <w:r w:rsidRPr="00EA4141">
        <w:rPr>
          <w:rFonts w:ascii="Arial" w:hAnsi="Arial" w:cs="Arial"/>
          <w:bCs/>
          <w:sz w:val="24"/>
          <w:szCs w:val="24"/>
        </w:rPr>
        <w:t>Whether the protected health information was actually acquired or viewed; and</w:t>
      </w:r>
    </w:p>
    <w:p w14:paraId="534DC097" w14:textId="053D08EC" w:rsidR="00EA4141" w:rsidRDefault="00EA4141" w:rsidP="00EA4141">
      <w:pPr>
        <w:pStyle w:val="ListParagraph"/>
        <w:numPr>
          <w:ilvl w:val="1"/>
          <w:numId w:val="8"/>
        </w:numPr>
        <w:spacing w:before="100" w:beforeAutospacing="1" w:after="100" w:afterAutospacing="1" w:line="276" w:lineRule="auto"/>
        <w:rPr>
          <w:rFonts w:ascii="Arial" w:hAnsi="Arial" w:cs="Arial"/>
          <w:bCs/>
          <w:sz w:val="24"/>
          <w:szCs w:val="24"/>
        </w:rPr>
      </w:pPr>
      <w:r w:rsidRPr="00EA4141">
        <w:rPr>
          <w:rFonts w:ascii="Arial" w:hAnsi="Arial" w:cs="Arial"/>
          <w:bCs/>
          <w:sz w:val="24"/>
          <w:szCs w:val="24"/>
        </w:rPr>
        <w:t>The extent to which the risk to the protected health information has been mitigated.</w:t>
      </w:r>
    </w:p>
    <w:p w14:paraId="118C0B59" w14:textId="4680810A" w:rsidR="00EA4141" w:rsidRDefault="00EA4141"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bCs/>
          <w:sz w:val="24"/>
          <w:szCs w:val="24"/>
        </w:rPr>
        <w:t>If the Risk Assessment indicates that no exception for reporting the breach exists and the breach must be reported, the Breach Notification Procedure below will be followed.</w:t>
      </w:r>
    </w:p>
    <w:p w14:paraId="4AE34023" w14:textId="38B40640" w:rsidR="00EA4141" w:rsidRDefault="00EA4141"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bCs/>
          <w:sz w:val="24"/>
          <w:szCs w:val="24"/>
        </w:rPr>
        <w:t xml:space="preserve">If the Risk Assessment indicates that there is a “low probability of compromise” of the PHI, no notification will be required.  </w:t>
      </w:r>
    </w:p>
    <w:p w14:paraId="6D609040" w14:textId="54E6B704" w:rsidR="00EA4141" w:rsidRPr="00316596" w:rsidRDefault="00EA4141"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bCs/>
          <w:sz w:val="24"/>
          <w:szCs w:val="24"/>
        </w:rPr>
        <w:t xml:space="preserve">If the PHI was secured, </w:t>
      </w:r>
      <w:r w:rsidR="00316596">
        <w:rPr>
          <w:rFonts w:ascii="Arial" w:hAnsi="Arial" w:cs="Arial"/>
          <w:bCs/>
          <w:sz w:val="24"/>
          <w:szCs w:val="24"/>
        </w:rPr>
        <w:t xml:space="preserve">through being </w:t>
      </w:r>
      <w:r w:rsidR="00316596" w:rsidRPr="00FE58F4">
        <w:rPr>
          <w:rFonts w:ascii="Arial" w:hAnsi="Arial" w:cs="Arial"/>
          <w:sz w:val="24"/>
          <w:szCs w:val="24"/>
        </w:rPr>
        <w:t>rendered unusable, unreadable, or indecipherable to through the use of encryption or destruction technologies and methodologies</w:t>
      </w:r>
      <w:r w:rsidR="00316596">
        <w:rPr>
          <w:rFonts w:ascii="Arial" w:hAnsi="Arial" w:cs="Arial"/>
          <w:sz w:val="24"/>
          <w:szCs w:val="24"/>
        </w:rPr>
        <w:t>, no breach has occurred and no reporting is required.</w:t>
      </w:r>
    </w:p>
    <w:p w14:paraId="3207F0EA" w14:textId="2CDE9DE6" w:rsidR="00EA4141" w:rsidRPr="00632FA5" w:rsidRDefault="00316596"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sz w:val="24"/>
          <w:szCs w:val="24"/>
        </w:rPr>
        <w:t>If the source of the breach was a business associate, Company will hold business associate accountable for providing the information required for the breach notification as outlined below within a reasonable time so Company can meet its obligations to report the breach to the affected individuals within 60 days of the date of the breach.</w:t>
      </w:r>
    </w:p>
    <w:p w14:paraId="3E9C664B" w14:textId="345A0222" w:rsidR="00632FA5" w:rsidRPr="008B693C" w:rsidRDefault="00632FA5"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sz w:val="24"/>
          <w:szCs w:val="24"/>
        </w:rPr>
        <w:t xml:space="preserve">Company will determine whether </w:t>
      </w:r>
      <w:r w:rsidR="00137977">
        <w:rPr>
          <w:rFonts w:ascii="Arial" w:hAnsi="Arial" w:cs="Arial"/>
          <w:sz w:val="24"/>
          <w:szCs w:val="24"/>
        </w:rPr>
        <w:t>any other procedures must be followed under applicable state laws.</w:t>
      </w:r>
      <w:r w:rsidR="00DA2C84">
        <w:rPr>
          <w:rFonts w:ascii="Arial" w:hAnsi="Arial" w:cs="Arial"/>
          <w:sz w:val="24"/>
          <w:szCs w:val="24"/>
        </w:rPr>
        <w:t xml:space="preserve"> </w:t>
      </w:r>
      <w:r w:rsidR="00D0586F">
        <w:rPr>
          <w:rFonts w:ascii="Arial" w:hAnsi="Arial" w:cs="Arial"/>
          <w:sz w:val="24"/>
          <w:szCs w:val="24"/>
        </w:rPr>
        <w:t xml:space="preserve">A resource for state security breach notification laws can be found at:  </w:t>
      </w:r>
      <w:hyperlink r:id="rId7" w:history="1">
        <w:r w:rsidR="00D0586F" w:rsidRPr="00F95BD8">
          <w:rPr>
            <w:rStyle w:val="Hyperlink"/>
            <w:rFonts w:ascii="Arial" w:hAnsi="Arial" w:cs="Arial"/>
            <w:sz w:val="24"/>
            <w:szCs w:val="24"/>
          </w:rPr>
          <w:t>https://www.perkinscoie.com/en/news-insights/security-breach-notification-chart.html</w:t>
        </w:r>
      </w:hyperlink>
      <w:r w:rsidR="00D0586F">
        <w:rPr>
          <w:rFonts w:ascii="Arial" w:hAnsi="Arial" w:cs="Arial"/>
          <w:sz w:val="24"/>
          <w:szCs w:val="24"/>
        </w:rPr>
        <w:t xml:space="preserve"> </w:t>
      </w:r>
    </w:p>
    <w:p w14:paraId="513FD68F" w14:textId="0403F7CB" w:rsidR="008B693C" w:rsidRPr="00DB0454" w:rsidRDefault="008B693C"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sz w:val="24"/>
          <w:szCs w:val="24"/>
        </w:rPr>
        <w:t>Company will determine whether law enforcement needs to be notified of the breach</w:t>
      </w:r>
      <w:r w:rsidR="00D92CB3">
        <w:rPr>
          <w:rFonts w:ascii="Arial" w:hAnsi="Arial" w:cs="Arial"/>
          <w:sz w:val="24"/>
          <w:szCs w:val="24"/>
        </w:rPr>
        <w:t>.</w:t>
      </w:r>
    </w:p>
    <w:p w14:paraId="735C4D81" w14:textId="5811A683" w:rsidR="00EA4141" w:rsidRPr="00EA4141" w:rsidRDefault="00DB0454" w:rsidP="00EA4141">
      <w:pPr>
        <w:pStyle w:val="ListParagraph"/>
        <w:numPr>
          <w:ilvl w:val="0"/>
          <w:numId w:val="8"/>
        </w:numPr>
        <w:spacing w:before="100" w:beforeAutospacing="1" w:after="100" w:afterAutospacing="1" w:line="276" w:lineRule="auto"/>
        <w:rPr>
          <w:rFonts w:ascii="Arial" w:hAnsi="Arial" w:cs="Arial"/>
          <w:bCs/>
          <w:sz w:val="24"/>
          <w:szCs w:val="24"/>
        </w:rPr>
      </w:pPr>
      <w:r>
        <w:rPr>
          <w:rFonts w:ascii="Arial" w:hAnsi="Arial" w:cs="Arial"/>
          <w:sz w:val="24"/>
          <w:szCs w:val="24"/>
        </w:rPr>
        <w:t>Company will document all risk assessments and the decisions made for notifications and keep records on file for at least 6 years.</w:t>
      </w:r>
    </w:p>
    <w:p w14:paraId="7BF989E4" w14:textId="77777777" w:rsidR="00316596" w:rsidRDefault="00316596" w:rsidP="00215929">
      <w:pPr>
        <w:spacing w:before="100" w:beforeAutospacing="1" w:after="100" w:afterAutospacing="1" w:line="276" w:lineRule="auto"/>
        <w:rPr>
          <w:rFonts w:ascii="Arial" w:hAnsi="Arial" w:cs="Arial"/>
          <w:b/>
          <w:sz w:val="24"/>
          <w:szCs w:val="24"/>
        </w:rPr>
      </w:pPr>
    </w:p>
    <w:p w14:paraId="5F7F752B" w14:textId="7A2F19B1" w:rsidR="00422471" w:rsidRPr="00FE58F4" w:rsidRDefault="00422471" w:rsidP="00215929">
      <w:pPr>
        <w:spacing w:before="100" w:beforeAutospacing="1" w:after="100" w:afterAutospacing="1" w:line="276" w:lineRule="auto"/>
        <w:rPr>
          <w:rFonts w:ascii="Arial" w:hAnsi="Arial" w:cs="Arial"/>
          <w:b/>
          <w:sz w:val="24"/>
          <w:szCs w:val="24"/>
        </w:rPr>
      </w:pPr>
      <w:r w:rsidRPr="00FE58F4">
        <w:rPr>
          <w:rFonts w:ascii="Arial" w:hAnsi="Arial" w:cs="Arial"/>
          <w:b/>
          <w:sz w:val="24"/>
          <w:szCs w:val="24"/>
        </w:rPr>
        <w:t>Breach Notification Content for Individuals</w:t>
      </w:r>
      <w:r w:rsidR="00215929">
        <w:rPr>
          <w:rFonts w:ascii="Arial" w:hAnsi="Arial" w:cs="Arial"/>
          <w:b/>
          <w:sz w:val="24"/>
          <w:szCs w:val="24"/>
        </w:rPr>
        <w:t>:</w:t>
      </w:r>
    </w:p>
    <w:p w14:paraId="30F2774B" w14:textId="77777777" w:rsidR="00422471" w:rsidRPr="00FE58F4" w:rsidRDefault="00422471" w:rsidP="00215929">
      <w:pPr>
        <w:numPr>
          <w:ilvl w:val="0"/>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A description of the breach</w:t>
      </w:r>
    </w:p>
    <w:p w14:paraId="60D75408" w14:textId="77777777" w:rsidR="00422471" w:rsidRPr="00FE58F4" w:rsidRDefault="00422471" w:rsidP="00215929">
      <w:pPr>
        <w:numPr>
          <w:ilvl w:val="0"/>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A description of the types of information that were involved in the breach</w:t>
      </w:r>
    </w:p>
    <w:p w14:paraId="3FBFA44D" w14:textId="77777777" w:rsidR="00422471" w:rsidRPr="00FE58F4" w:rsidRDefault="00422471" w:rsidP="00215929">
      <w:pPr>
        <w:numPr>
          <w:ilvl w:val="0"/>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The steps that the affected individual(s) should take to protect themselves from potential harm</w:t>
      </w:r>
    </w:p>
    <w:p w14:paraId="360EFF4E" w14:textId="77777777" w:rsidR="00422471" w:rsidRPr="00FE58F4" w:rsidRDefault="00422471" w:rsidP="00215929">
      <w:pPr>
        <w:numPr>
          <w:ilvl w:val="0"/>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A brief description of what the covered entity is doing to:</w:t>
      </w:r>
    </w:p>
    <w:p w14:paraId="78652B4C" w14:textId="77777777" w:rsidR="00422471" w:rsidRPr="00FE58F4" w:rsidRDefault="00422471" w:rsidP="00215929">
      <w:pPr>
        <w:numPr>
          <w:ilvl w:val="1"/>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Investigate the breach</w:t>
      </w:r>
    </w:p>
    <w:p w14:paraId="5C3B0C40" w14:textId="77777777" w:rsidR="00422471" w:rsidRPr="00FE58F4" w:rsidRDefault="00422471" w:rsidP="00215929">
      <w:pPr>
        <w:numPr>
          <w:ilvl w:val="1"/>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Mitigate the harm</w:t>
      </w:r>
    </w:p>
    <w:p w14:paraId="6051E703" w14:textId="77777777" w:rsidR="00422471" w:rsidRPr="00FE58F4" w:rsidRDefault="00422471" w:rsidP="00215929">
      <w:pPr>
        <w:numPr>
          <w:ilvl w:val="1"/>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Prevent further breaches</w:t>
      </w:r>
    </w:p>
    <w:p w14:paraId="41185048" w14:textId="77777777" w:rsidR="00422471" w:rsidRPr="00FE58F4" w:rsidRDefault="00422471" w:rsidP="00215929">
      <w:pPr>
        <w:numPr>
          <w:ilvl w:val="1"/>
          <w:numId w:val="3"/>
        </w:numPr>
        <w:spacing w:before="100" w:beforeAutospacing="1" w:after="100" w:afterAutospacing="1" w:line="276" w:lineRule="auto"/>
        <w:rPr>
          <w:rFonts w:ascii="Arial" w:hAnsi="Arial" w:cs="Arial"/>
          <w:sz w:val="24"/>
          <w:szCs w:val="24"/>
        </w:rPr>
      </w:pPr>
      <w:r w:rsidRPr="00FE58F4">
        <w:rPr>
          <w:rFonts w:ascii="Arial" w:hAnsi="Arial" w:cs="Arial"/>
          <w:sz w:val="24"/>
          <w:szCs w:val="24"/>
        </w:rPr>
        <w:t xml:space="preserve">Provide contact information at no cost to the individual </w:t>
      </w:r>
    </w:p>
    <w:p w14:paraId="5CCCAD1A" w14:textId="373CE507" w:rsidR="00422471" w:rsidRPr="00FE58F4" w:rsidRDefault="00422471" w:rsidP="00215929">
      <w:pPr>
        <w:spacing w:before="100" w:beforeAutospacing="1" w:after="100" w:afterAutospacing="1" w:line="276" w:lineRule="auto"/>
        <w:rPr>
          <w:rFonts w:ascii="Arial" w:hAnsi="Arial" w:cs="Arial"/>
          <w:sz w:val="24"/>
          <w:szCs w:val="24"/>
        </w:rPr>
      </w:pPr>
      <w:r w:rsidRPr="00FE58F4">
        <w:rPr>
          <w:rFonts w:ascii="Arial" w:hAnsi="Arial" w:cs="Arial"/>
          <w:b/>
          <w:bCs/>
          <w:sz w:val="24"/>
          <w:szCs w:val="24"/>
        </w:rPr>
        <w:t>Breach Notification Requirements</w:t>
      </w:r>
      <w:r w:rsidR="00316596">
        <w:rPr>
          <w:rFonts w:ascii="Arial" w:hAnsi="Arial" w:cs="Arial"/>
          <w:b/>
          <w:bCs/>
          <w:sz w:val="24"/>
          <w:szCs w:val="24"/>
        </w:rPr>
        <w:t>:</w:t>
      </w:r>
    </w:p>
    <w:p w14:paraId="78641525" w14:textId="21AAF169" w:rsidR="00422471" w:rsidRPr="00DB0454" w:rsidRDefault="00DB0454" w:rsidP="00DB0454">
      <w:pPr>
        <w:spacing w:before="100" w:beforeAutospacing="1" w:after="100" w:afterAutospacing="1" w:line="276" w:lineRule="auto"/>
        <w:rPr>
          <w:rFonts w:ascii="Arial" w:hAnsi="Arial" w:cs="Arial"/>
          <w:sz w:val="24"/>
          <w:szCs w:val="24"/>
        </w:rPr>
      </w:pPr>
      <w:r>
        <w:rPr>
          <w:rFonts w:ascii="Arial" w:hAnsi="Arial" w:cs="Arial"/>
          <w:b/>
          <w:bCs/>
          <w:sz w:val="24"/>
          <w:szCs w:val="24"/>
        </w:rPr>
        <w:t xml:space="preserve">     </w:t>
      </w:r>
      <w:r w:rsidR="00422471" w:rsidRPr="00DB0454">
        <w:rPr>
          <w:rFonts w:ascii="Arial" w:hAnsi="Arial" w:cs="Arial"/>
          <w:b/>
          <w:bCs/>
          <w:sz w:val="24"/>
          <w:szCs w:val="24"/>
        </w:rPr>
        <w:t>Breaches of Less than Five Hundred (&lt;500) Individuals:</w:t>
      </w:r>
    </w:p>
    <w:p w14:paraId="0464E6BE" w14:textId="44847D6C" w:rsidR="00316596" w:rsidRDefault="00316596" w:rsidP="00215929">
      <w:pPr>
        <w:numPr>
          <w:ilvl w:val="0"/>
          <w:numId w:val="2"/>
        </w:numPr>
        <w:spacing w:before="100" w:beforeAutospacing="1" w:after="100" w:afterAutospacing="1" w:line="276" w:lineRule="auto"/>
        <w:rPr>
          <w:rFonts w:ascii="Arial" w:hAnsi="Arial" w:cs="Arial"/>
          <w:sz w:val="24"/>
          <w:szCs w:val="24"/>
        </w:rPr>
      </w:pPr>
      <w:r>
        <w:rPr>
          <w:rFonts w:ascii="Arial" w:hAnsi="Arial" w:cs="Arial"/>
          <w:sz w:val="24"/>
          <w:szCs w:val="24"/>
        </w:rPr>
        <w:t>Company will p</w:t>
      </w:r>
      <w:r w:rsidR="00422471" w:rsidRPr="00FE58F4">
        <w:rPr>
          <w:rFonts w:ascii="Arial" w:hAnsi="Arial" w:cs="Arial"/>
          <w:sz w:val="24"/>
          <w:szCs w:val="24"/>
        </w:rPr>
        <w:t>rovide the affected individual</w:t>
      </w:r>
      <w:r w:rsidR="00DB0454">
        <w:rPr>
          <w:rFonts w:ascii="Arial" w:hAnsi="Arial" w:cs="Arial"/>
          <w:sz w:val="24"/>
          <w:szCs w:val="24"/>
        </w:rPr>
        <w:t>(s)</w:t>
      </w:r>
      <w:r w:rsidR="00422471" w:rsidRPr="00FE58F4">
        <w:rPr>
          <w:rFonts w:ascii="Arial" w:hAnsi="Arial" w:cs="Arial"/>
          <w:sz w:val="24"/>
          <w:szCs w:val="24"/>
        </w:rPr>
        <w:t xml:space="preserve"> with a notice in written form by first-class mail, or send an e-mail notice, if the affected individual has agreed to receive such notices electronically. The notice will be provided without unreasonable delay and, in no case, later than sixty (60) days </w:t>
      </w:r>
      <w:r w:rsidR="00137977">
        <w:rPr>
          <w:rFonts w:ascii="Arial" w:hAnsi="Arial" w:cs="Arial"/>
          <w:sz w:val="24"/>
          <w:szCs w:val="24"/>
        </w:rPr>
        <w:t xml:space="preserve">(absent a law enforcement </w:t>
      </w:r>
      <w:r w:rsidR="009354A7">
        <w:rPr>
          <w:rFonts w:ascii="Arial" w:hAnsi="Arial" w:cs="Arial"/>
          <w:sz w:val="24"/>
          <w:szCs w:val="24"/>
        </w:rPr>
        <w:t xml:space="preserve">delay) </w:t>
      </w:r>
      <w:r w:rsidR="00422471" w:rsidRPr="00FE58F4">
        <w:rPr>
          <w:rFonts w:ascii="Arial" w:hAnsi="Arial" w:cs="Arial"/>
          <w:sz w:val="24"/>
          <w:szCs w:val="24"/>
        </w:rPr>
        <w:t xml:space="preserve">following the discovery of a breach. </w:t>
      </w:r>
    </w:p>
    <w:p w14:paraId="328C24ED" w14:textId="6C473FBB" w:rsidR="00422471" w:rsidRPr="00FE58F4" w:rsidRDefault="00422471" w:rsidP="00215929">
      <w:pPr>
        <w:numPr>
          <w:ilvl w:val="0"/>
          <w:numId w:val="2"/>
        </w:numPr>
        <w:spacing w:before="100" w:beforeAutospacing="1" w:after="100" w:afterAutospacing="1" w:line="276" w:lineRule="auto"/>
        <w:rPr>
          <w:rFonts w:ascii="Arial" w:hAnsi="Arial" w:cs="Arial"/>
          <w:sz w:val="24"/>
          <w:szCs w:val="24"/>
        </w:rPr>
      </w:pPr>
      <w:r w:rsidRPr="00FE58F4">
        <w:rPr>
          <w:rFonts w:ascii="Arial" w:hAnsi="Arial" w:cs="Arial"/>
          <w:sz w:val="24"/>
          <w:szCs w:val="24"/>
        </w:rPr>
        <w:t>If there is insufficient or out of date contact information our facility will do the following if the breach involves: </w:t>
      </w:r>
    </w:p>
    <w:p w14:paraId="457174EF" w14:textId="2FBB26A9" w:rsidR="00422471" w:rsidRPr="00FE58F4" w:rsidRDefault="00316596" w:rsidP="00215929">
      <w:pPr>
        <w:numPr>
          <w:ilvl w:val="1"/>
          <w:numId w:val="2"/>
        </w:numPr>
        <w:spacing w:before="100" w:beforeAutospacing="1" w:after="100" w:afterAutospacing="1" w:line="276" w:lineRule="auto"/>
        <w:rPr>
          <w:rFonts w:ascii="Arial" w:hAnsi="Arial" w:cs="Arial"/>
          <w:sz w:val="24"/>
          <w:szCs w:val="24"/>
        </w:rPr>
      </w:pPr>
      <w:r>
        <w:rPr>
          <w:rFonts w:ascii="Arial" w:hAnsi="Arial" w:cs="Arial"/>
          <w:sz w:val="24"/>
          <w:szCs w:val="24"/>
        </w:rPr>
        <w:t xml:space="preserve">9 or fewer </w:t>
      </w:r>
      <w:r w:rsidR="00422471" w:rsidRPr="00FE58F4">
        <w:rPr>
          <w:rFonts w:ascii="Arial" w:hAnsi="Arial" w:cs="Arial"/>
          <w:sz w:val="24"/>
          <w:szCs w:val="24"/>
        </w:rPr>
        <w:t>individuals with out of date or insufficient contact information</w:t>
      </w:r>
      <w:r w:rsidR="00DB0454">
        <w:rPr>
          <w:rFonts w:ascii="Arial" w:hAnsi="Arial" w:cs="Arial"/>
          <w:sz w:val="24"/>
          <w:szCs w:val="24"/>
        </w:rPr>
        <w:t xml:space="preserve"> - </w:t>
      </w:r>
      <w:r>
        <w:rPr>
          <w:rFonts w:ascii="Arial" w:hAnsi="Arial" w:cs="Arial"/>
          <w:sz w:val="24"/>
          <w:szCs w:val="24"/>
        </w:rPr>
        <w:t xml:space="preserve"> Company </w:t>
      </w:r>
      <w:r w:rsidR="00422471" w:rsidRPr="00FE58F4">
        <w:rPr>
          <w:rFonts w:ascii="Arial" w:hAnsi="Arial" w:cs="Arial"/>
          <w:sz w:val="24"/>
          <w:szCs w:val="24"/>
        </w:rPr>
        <w:t xml:space="preserve">will </w:t>
      </w:r>
      <w:r>
        <w:rPr>
          <w:rFonts w:ascii="Arial" w:hAnsi="Arial" w:cs="Arial"/>
          <w:sz w:val="24"/>
          <w:szCs w:val="24"/>
        </w:rPr>
        <w:t>notify the individual</w:t>
      </w:r>
      <w:r w:rsidR="00DB0454">
        <w:rPr>
          <w:rFonts w:ascii="Arial" w:hAnsi="Arial" w:cs="Arial"/>
          <w:sz w:val="24"/>
          <w:szCs w:val="24"/>
        </w:rPr>
        <w:t>(s)</w:t>
      </w:r>
      <w:r>
        <w:rPr>
          <w:rFonts w:ascii="Arial" w:hAnsi="Arial" w:cs="Arial"/>
          <w:sz w:val="24"/>
          <w:szCs w:val="24"/>
        </w:rPr>
        <w:t xml:space="preserve"> through an </w:t>
      </w:r>
      <w:r w:rsidR="00422471" w:rsidRPr="00FE58F4">
        <w:rPr>
          <w:rFonts w:ascii="Arial" w:hAnsi="Arial" w:cs="Arial"/>
          <w:sz w:val="24"/>
          <w:szCs w:val="24"/>
        </w:rPr>
        <w:t>alternative form of written notice, e.g. telephone, website posting or other HHS approved means</w:t>
      </w:r>
      <w:r w:rsidR="00DB0454">
        <w:rPr>
          <w:rFonts w:ascii="Arial" w:hAnsi="Arial" w:cs="Arial"/>
          <w:sz w:val="24"/>
          <w:szCs w:val="24"/>
        </w:rPr>
        <w:t>.</w:t>
      </w:r>
    </w:p>
    <w:p w14:paraId="2C9FD0B0" w14:textId="2FABC9D2" w:rsidR="00422471" w:rsidRPr="00FE58F4" w:rsidRDefault="00422471" w:rsidP="00215929">
      <w:pPr>
        <w:numPr>
          <w:ilvl w:val="1"/>
          <w:numId w:val="2"/>
        </w:numPr>
        <w:spacing w:before="100" w:beforeAutospacing="1" w:line="276" w:lineRule="auto"/>
        <w:rPr>
          <w:rFonts w:ascii="Arial" w:hAnsi="Arial" w:cs="Arial"/>
          <w:sz w:val="24"/>
          <w:szCs w:val="24"/>
        </w:rPr>
      </w:pPr>
      <w:r w:rsidRPr="00FE58F4">
        <w:rPr>
          <w:rFonts w:ascii="Arial" w:hAnsi="Arial" w:cs="Arial"/>
          <w:sz w:val="24"/>
          <w:szCs w:val="24"/>
        </w:rPr>
        <w:t>10 or more individuals with out of date or insufficient contact information</w:t>
      </w:r>
      <w:r w:rsidR="00DB0454">
        <w:rPr>
          <w:rFonts w:ascii="Arial" w:hAnsi="Arial" w:cs="Arial"/>
          <w:sz w:val="24"/>
          <w:szCs w:val="24"/>
        </w:rPr>
        <w:t xml:space="preserve"> - Company</w:t>
      </w:r>
      <w:r w:rsidRPr="00FE58F4">
        <w:rPr>
          <w:rFonts w:ascii="Arial" w:hAnsi="Arial" w:cs="Arial"/>
          <w:sz w:val="24"/>
          <w:szCs w:val="24"/>
        </w:rPr>
        <w:t xml:space="preserve"> will provide the notice on the home page of </w:t>
      </w:r>
      <w:r w:rsidR="00DB0454">
        <w:rPr>
          <w:rFonts w:ascii="Arial" w:hAnsi="Arial" w:cs="Arial"/>
          <w:sz w:val="24"/>
          <w:szCs w:val="24"/>
        </w:rPr>
        <w:t>Company’s</w:t>
      </w:r>
      <w:r w:rsidRPr="00FE58F4">
        <w:rPr>
          <w:rFonts w:ascii="Arial" w:hAnsi="Arial" w:cs="Arial"/>
          <w:sz w:val="24"/>
          <w:szCs w:val="24"/>
        </w:rPr>
        <w:t xml:space="preserve"> website, or  provide the notice in major print or broadcast media where the affected individuals most likely reside</w:t>
      </w:r>
      <w:r w:rsidR="00DB0454">
        <w:rPr>
          <w:rFonts w:ascii="Arial" w:hAnsi="Arial" w:cs="Arial"/>
          <w:sz w:val="24"/>
          <w:szCs w:val="24"/>
        </w:rPr>
        <w:t xml:space="preserve"> and a </w:t>
      </w:r>
      <w:r w:rsidRPr="00FE58F4">
        <w:rPr>
          <w:rFonts w:ascii="Arial" w:hAnsi="Arial" w:cs="Arial"/>
          <w:sz w:val="24"/>
          <w:szCs w:val="24"/>
        </w:rPr>
        <w:t xml:space="preserve">toll-free number or collect call option for individuals to contact </w:t>
      </w:r>
      <w:r w:rsidR="00DB0454">
        <w:rPr>
          <w:rFonts w:ascii="Arial" w:hAnsi="Arial" w:cs="Arial"/>
          <w:sz w:val="24"/>
          <w:szCs w:val="24"/>
        </w:rPr>
        <w:t>Company</w:t>
      </w:r>
      <w:r w:rsidRPr="00FE58F4">
        <w:rPr>
          <w:rFonts w:ascii="Arial" w:hAnsi="Arial" w:cs="Arial"/>
          <w:sz w:val="24"/>
          <w:szCs w:val="24"/>
        </w:rPr>
        <w:t xml:space="preserve"> to </w:t>
      </w:r>
      <w:r w:rsidR="00DB0454">
        <w:rPr>
          <w:rFonts w:ascii="Arial" w:hAnsi="Arial" w:cs="Arial"/>
          <w:sz w:val="24"/>
          <w:szCs w:val="24"/>
        </w:rPr>
        <w:t>get more information about the breach.</w:t>
      </w:r>
    </w:p>
    <w:p w14:paraId="608321E0" w14:textId="21BB047B" w:rsidR="00DB0454" w:rsidRDefault="00DB0454" w:rsidP="00215929">
      <w:pPr>
        <w:pStyle w:val="NormalWeb"/>
        <w:numPr>
          <w:ilvl w:val="0"/>
          <w:numId w:val="5"/>
        </w:numPr>
        <w:spacing w:before="0" w:beforeAutospacing="0" w:line="276" w:lineRule="auto"/>
        <w:rPr>
          <w:rFonts w:ascii="Arial" w:hAnsi="Arial" w:cs="Arial"/>
        </w:rPr>
      </w:pPr>
      <w:r>
        <w:rPr>
          <w:rFonts w:ascii="Arial" w:hAnsi="Arial" w:cs="Arial"/>
        </w:rPr>
        <w:t>Company will report the breach to the Secretary of</w:t>
      </w:r>
      <w:r w:rsidR="00422471" w:rsidRPr="00FE58F4">
        <w:rPr>
          <w:rFonts w:ascii="Arial" w:hAnsi="Arial" w:cs="Arial"/>
        </w:rPr>
        <w:t xml:space="preserve"> Health &amp; Human Services, within sixty (60) days of the end of the calendar year</w:t>
      </w:r>
      <w:r w:rsidR="00422471" w:rsidRPr="00FE58F4">
        <w:t xml:space="preserve"> </w:t>
      </w:r>
      <w:r w:rsidR="00422471" w:rsidRPr="00FE58F4">
        <w:rPr>
          <w:rFonts w:ascii="Arial" w:hAnsi="Arial" w:cs="Arial"/>
        </w:rPr>
        <w:t>in which the breaches occurred</w:t>
      </w:r>
      <w:r>
        <w:rPr>
          <w:rFonts w:ascii="Arial" w:hAnsi="Arial" w:cs="Arial"/>
        </w:rPr>
        <w:t xml:space="preserve"> by filling out the form at </w:t>
      </w:r>
      <w:hyperlink r:id="rId8" w:history="1">
        <w:r w:rsidRPr="00F95BD8">
          <w:rPr>
            <w:rStyle w:val="Hyperlink"/>
            <w:rFonts w:ascii="Arial" w:hAnsi="Arial" w:cs="Arial"/>
          </w:rPr>
          <w:t>https://ocrportal.hhs.gov/ocr/breach/wizard_breach.jsf?faces-redirect=true</w:t>
        </w:r>
      </w:hyperlink>
      <w:r>
        <w:rPr>
          <w:rFonts w:ascii="Arial" w:hAnsi="Arial" w:cs="Arial"/>
        </w:rPr>
        <w:t xml:space="preserve"> </w:t>
      </w:r>
      <w:r w:rsidR="00422471" w:rsidRPr="00FE58F4">
        <w:rPr>
          <w:rFonts w:ascii="Arial" w:hAnsi="Arial" w:cs="Arial"/>
        </w:rPr>
        <w:t xml:space="preserve"> </w:t>
      </w:r>
    </w:p>
    <w:p w14:paraId="0A15BDF1" w14:textId="21B778A0" w:rsidR="00422471" w:rsidRPr="00FE58F4" w:rsidRDefault="00422471" w:rsidP="00215929">
      <w:pPr>
        <w:pStyle w:val="NormalWeb"/>
        <w:numPr>
          <w:ilvl w:val="0"/>
          <w:numId w:val="5"/>
        </w:numPr>
        <w:spacing w:before="0" w:beforeAutospacing="0" w:line="276" w:lineRule="auto"/>
        <w:rPr>
          <w:rFonts w:ascii="Arial" w:hAnsi="Arial" w:cs="Arial"/>
        </w:rPr>
      </w:pPr>
      <w:r w:rsidRPr="00FE58F4">
        <w:rPr>
          <w:rFonts w:ascii="Arial" w:hAnsi="Arial" w:cs="Arial"/>
        </w:rPr>
        <w:t>A separate form will be completed for every breach that occurred during the calendar year.</w:t>
      </w:r>
      <w:r w:rsidRPr="00FE58F4">
        <w:t>  </w:t>
      </w:r>
      <w:r w:rsidRPr="00FE58F4">
        <w:rPr>
          <w:rFonts w:ascii="Arial" w:hAnsi="Arial" w:cs="Arial"/>
        </w:rPr>
        <w:t xml:space="preserve">The electronic form OMB No. 0990-0346 will be completed as posted on the Health &amp; Human Services website. </w:t>
      </w:r>
      <w:hyperlink r:id="rId9" w:history="1">
        <w:r w:rsidRPr="00FE58F4">
          <w:rPr>
            <w:rStyle w:val="Hyperlink"/>
            <w:rFonts w:ascii="Arial" w:hAnsi="Arial" w:cs="Arial"/>
          </w:rPr>
          <w:t>http://www.hhs.gov/ocr/privacy/hipaa/administrative/breachnotificationrule/brinstruction.html</w:t>
        </w:r>
      </w:hyperlink>
    </w:p>
    <w:p w14:paraId="7F247D65" w14:textId="299DE452" w:rsidR="00422471" w:rsidRPr="00FE58F4" w:rsidRDefault="00DB0454" w:rsidP="00215929">
      <w:pPr>
        <w:spacing w:before="100" w:beforeAutospacing="1" w:after="100" w:afterAutospacing="1" w:line="276" w:lineRule="auto"/>
        <w:rPr>
          <w:rFonts w:ascii="Arial" w:hAnsi="Arial" w:cs="Arial"/>
          <w:b/>
          <w:bCs/>
          <w:sz w:val="24"/>
          <w:szCs w:val="24"/>
        </w:rPr>
      </w:pPr>
      <w:r>
        <w:rPr>
          <w:rFonts w:ascii="Arial" w:hAnsi="Arial" w:cs="Arial"/>
          <w:b/>
          <w:bCs/>
          <w:sz w:val="24"/>
          <w:szCs w:val="24"/>
        </w:rPr>
        <w:t xml:space="preserve">     </w:t>
      </w:r>
      <w:r w:rsidR="00422471" w:rsidRPr="00FE58F4">
        <w:rPr>
          <w:rFonts w:ascii="Arial" w:hAnsi="Arial" w:cs="Arial"/>
          <w:b/>
          <w:bCs/>
          <w:sz w:val="24"/>
          <w:szCs w:val="24"/>
        </w:rPr>
        <w:t xml:space="preserve">Breaches of </w:t>
      </w:r>
      <w:r>
        <w:rPr>
          <w:rFonts w:ascii="Arial" w:hAnsi="Arial" w:cs="Arial"/>
          <w:b/>
          <w:bCs/>
          <w:sz w:val="24"/>
          <w:szCs w:val="24"/>
        </w:rPr>
        <w:t>500+</w:t>
      </w:r>
      <w:r w:rsidR="00422471" w:rsidRPr="00FE58F4">
        <w:rPr>
          <w:rFonts w:ascii="Arial" w:hAnsi="Arial" w:cs="Arial"/>
          <w:b/>
          <w:bCs/>
          <w:sz w:val="24"/>
          <w:szCs w:val="24"/>
        </w:rPr>
        <w:t xml:space="preserve"> Residents within Our State or Jurisdiction</w:t>
      </w:r>
      <w:r>
        <w:rPr>
          <w:rFonts w:ascii="Arial" w:hAnsi="Arial" w:cs="Arial"/>
          <w:b/>
          <w:bCs/>
          <w:sz w:val="24"/>
          <w:szCs w:val="24"/>
        </w:rPr>
        <w:t>:</w:t>
      </w:r>
    </w:p>
    <w:p w14:paraId="35EB8A65" w14:textId="6432271C" w:rsidR="00422471" w:rsidRPr="00FE58F4" w:rsidRDefault="00DB0454" w:rsidP="00215929">
      <w:pPr>
        <w:numPr>
          <w:ilvl w:val="0"/>
          <w:numId w:val="4"/>
        </w:numPr>
        <w:spacing w:before="100" w:beforeAutospacing="1" w:after="100" w:afterAutospacing="1" w:line="276" w:lineRule="auto"/>
        <w:rPr>
          <w:rFonts w:ascii="Arial" w:hAnsi="Arial" w:cs="Arial"/>
          <w:sz w:val="24"/>
          <w:szCs w:val="24"/>
        </w:rPr>
      </w:pPr>
      <w:r>
        <w:rPr>
          <w:rFonts w:ascii="Arial" w:hAnsi="Arial" w:cs="Arial"/>
          <w:sz w:val="24"/>
          <w:szCs w:val="24"/>
        </w:rPr>
        <w:t>Company will p</w:t>
      </w:r>
      <w:r w:rsidR="00422471" w:rsidRPr="00FE58F4">
        <w:rPr>
          <w:rFonts w:ascii="Arial" w:hAnsi="Arial" w:cs="Arial"/>
          <w:sz w:val="24"/>
          <w:szCs w:val="24"/>
        </w:rPr>
        <w:t xml:space="preserve">rovide a notice to prominent media outlets, by press release, serving our State or jurisdiction. It will be provided without unreasonable delay and, in no case, later than sixty (60) days </w:t>
      </w:r>
      <w:r w:rsidR="009354A7">
        <w:rPr>
          <w:rFonts w:ascii="Arial" w:hAnsi="Arial" w:cs="Arial"/>
          <w:sz w:val="24"/>
          <w:szCs w:val="24"/>
        </w:rPr>
        <w:t xml:space="preserve">(absent a law enforcement delay) </w:t>
      </w:r>
      <w:r w:rsidR="00422471" w:rsidRPr="00FE58F4">
        <w:rPr>
          <w:rFonts w:ascii="Arial" w:hAnsi="Arial" w:cs="Arial"/>
          <w:sz w:val="24"/>
          <w:szCs w:val="24"/>
        </w:rPr>
        <w:t>following the discovery of the breach and it will include the same information required for the individual notice</w:t>
      </w:r>
    </w:p>
    <w:p w14:paraId="13CBD281" w14:textId="586AD6C9" w:rsidR="00DB0454" w:rsidRPr="00DB0454" w:rsidRDefault="00DB0454" w:rsidP="00DB0454">
      <w:pPr>
        <w:pStyle w:val="NormalWeb"/>
        <w:numPr>
          <w:ilvl w:val="0"/>
          <w:numId w:val="4"/>
        </w:numPr>
        <w:spacing w:before="0" w:beforeAutospacing="0" w:line="276" w:lineRule="auto"/>
        <w:rPr>
          <w:rFonts w:ascii="Arial" w:hAnsi="Arial" w:cs="Arial"/>
        </w:rPr>
      </w:pPr>
      <w:r>
        <w:rPr>
          <w:rFonts w:ascii="Arial" w:hAnsi="Arial" w:cs="Arial"/>
        </w:rPr>
        <w:t xml:space="preserve">Company will </w:t>
      </w:r>
      <w:r>
        <w:rPr>
          <w:rFonts w:ascii="Arial" w:hAnsi="Arial" w:cs="Arial"/>
        </w:rPr>
        <w:t>report the breach to the Secretary of</w:t>
      </w:r>
      <w:r w:rsidRPr="00FE58F4">
        <w:rPr>
          <w:rFonts w:ascii="Arial" w:hAnsi="Arial" w:cs="Arial"/>
        </w:rPr>
        <w:t xml:space="preserve"> Health &amp; Human Services</w:t>
      </w:r>
      <w:r>
        <w:rPr>
          <w:rFonts w:ascii="Arial" w:hAnsi="Arial" w:cs="Arial"/>
        </w:rPr>
        <w:t xml:space="preserve"> </w:t>
      </w:r>
      <w:r w:rsidR="00422471" w:rsidRPr="00FE58F4">
        <w:rPr>
          <w:rFonts w:ascii="Arial" w:hAnsi="Arial" w:cs="Arial"/>
        </w:rPr>
        <w:t xml:space="preserve">within sixty (60) days of </w:t>
      </w:r>
      <w:r>
        <w:rPr>
          <w:rFonts w:ascii="Arial" w:hAnsi="Arial" w:cs="Arial"/>
        </w:rPr>
        <w:t xml:space="preserve">breach by filling out the form at </w:t>
      </w:r>
      <w:hyperlink r:id="rId10" w:history="1">
        <w:r w:rsidRPr="00F95BD8">
          <w:rPr>
            <w:rStyle w:val="Hyperlink"/>
            <w:rFonts w:ascii="Arial" w:hAnsi="Arial" w:cs="Arial"/>
          </w:rPr>
          <w:t>https://ocrportal.hhs.gov/ocr/breach/wizard_breach.jsf?faces-redirect=true</w:t>
        </w:r>
      </w:hyperlink>
      <w:r>
        <w:rPr>
          <w:rFonts w:ascii="Arial" w:hAnsi="Arial" w:cs="Arial"/>
        </w:rPr>
        <w:t xml:space="preserve"> </w:t>
      </w:r>
      <w:r w:rsidRPr="00FE58F4">
        <w:rPr>
          <w:rFonts w:ascii="Arial" w:hAnsi="Arial" w:cs="Arial"/>
        </w:rPr>
        <w:t xml:space="preserve"> </w:t>
      </w:r>
    </w:p>
    <w:p w14:paraId="28292487" w14:textId="2ADE4A8C" w:rsidR="00422471" w:rsidRPr="00DB0454" w:rsidRDefault="00DB0454" w:rsidP="00C442F8">
      <w:pPr>
        <w:pStyle w:val="NormalWeb"/>
        <w:numPr>
          <w:ilvl w:val="0"/>
          <w:numId w:val="4"/>
        </w:numPr>
        <w:spacing w:line="276" w:lineRule="auto"/>
        <w:rPr>
          <w:rFonts w:ascii="Arial" w:hAnsi="Arial" w:cs="Arial"/>
        </w:rPr>
      </w:pPr>
      <w:r w:rsidRPr="00DB0454">
        <w:rPr>
          <w:rFonts w:ascii="Arial" w:hAnsi="Arial" w:cs="Arial"/>
        </w:rPr>
        <w:t xml:space="preserve">See HHS breach reporting instructions at </w:t>
      </w:r>
      <w:hyperlink r:id="rId11" w:history="1">
        <w:r w:rsidRPr="00DB0454">
          <w:rPr>
            <w:rStyle w:val="Hyperlink"/>
            <w:rFonts w:ascii="Arial" w:hAnsi="Arial" w:cs="Arial"/>
          </w:rPr>
          <w:t>http://www.hhs.gov/ocr/privacy/hipaa/administrative/breachnotificationrule/brinstruction.html</w:t>
        </w:r>
      </w:hyperlink>
      <w:r w:rsidR="00422471" w:rsidRPr="00DB0454">
        <w:rPr>
          <w:rFonts w:ascii="Arial" w:hAnsi="Arial" w:cs="Arial"/>
        </w:rPr>
        <w:t xml:space="preserve"> </w:t>
      </w:r>
    </w:p>
    <w:sectPr w:rsidR="00422471" w:rsidRPr="00DB0454" w:rsidSect="003D1B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6FA3" w14:textId="77777777" w:rsidR="004B0622" w:rsidRDefault="004B0622" w:rsidP="00862962">
      <w:r>
        <w:separator/>
      </w:r>
    </w:p>
  </w:endnote>
  <w:endnote w:type="continuationSeparator" w:id="0">
    <w:p w14:paraId="782F5819" w14:textId="77777777" w:rsidR="004B0622" w:rsidRDefault="004B0622" w:rsidP="0086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90E" w14:textId="77777777" w:rsidR="00862962" w:rsidRDefault="0086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2804" w14:textId="19229C3E" w:rsidR="00862962" w:rsidRDefault="009007DE">
    <w:pPr>
      <w:pStyle w:val="Footer"/>
    </w:pPr>
    <w:r>
      <w:t xml:space="preserve">© Simons &amp; Associates Law, P.A. 2023.  </w:t>
    </w:r>
    <w:r w:rsidR="00D66AD0">
      <w:t>Permission to use granted to our member clients.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F4A8" w14:textId="77777777" w:rsidR="00862962" w:rsidRDefault="0086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B9E3" w14:textId="77777777" w:rsidR="004B0622" w:rsidRDefault="004B0622" w:rsidP="00862962">
      <w:r>
        <w:separator/>
      </w:r>
    </w:p>
  </w:footnote>
  <w:footnote w:type="continuationSeparator" w:id="0">
    <w:p w14:paraId="39B4EFEC" w14:textId="77777777" w:rsidR="004B0622" w:rsidRDefault="004B0622" w:rsidP="0086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1C60" w14:textId="77777777" w:rsidR="00862962" w:rsidRDefault="0086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9E77" w14:textId="77777777" w:rsidR="00862962" w:rsidRDefault="00862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3FE0" w14:textId="77777777" w:rsidR="00862962" w:rsidRDefault="0086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334"/>
    <w:multiLevelType w:val="hybridMultilevel"/>
    <w:tmpl w:val="1BEA5D70"/>
    <w:lvl w:ilvl="0" w:tplc="0F6E74C4">
      <w:start w:val="1"/>
      <w:numFmt w:val="decimal"/>
      <w:lvlText w:val="%1."/>
      <w:lvlJc w:val="left"/>
      <w:pPr>
        <w:tabs>
          <w:tab w:val="num" w:pos="720"/>
        </w:tabs>
        <w:ind w:left="720" w:hanging="360"/>
      </w:pPr>
    </w:lvl>
    <w:lvl w:ilvl="1" w:tplc="01A200D0" w:tentative="1">
      <w:start w:val="1"/>
      <w:numFmt w:val="decimal"/>
      <w:lvlText w:val="%2."/>
      <w:lvlJc w:val="left"/>
      <w:pPr>
        <w:tabs>
          <w:tab w:val="num" w:pos="1440"/>
        </w:tabs>
        <w:ind w:left="1440" w:hanging="360"/>
      </w:pPr>
    </w:lvl>
    <w:lvl w:ilvl="2" w:tplc="9934ED44" w:tentative="1">
      <w:start w:val="1"/>
      <w:numFmt w:val="decimal"/>
      <w:lvlText w:val="%3."/>
      <w:lvlJc w:val="left"/>
      <w:pPr>
        <w:tabs>
          <w:tab w:val="num" w:pos="2160"/>
        </w:tabs>
        <w:ind w:left="2160" w:hanging="360"/>
      </w:pPr>
    </w:lvl>
    <w:lvl w:ilvl="3" w:tplc="FA10EAC8" w:tentative="1">
      <w:start w:val="1"/>
      <w:numFmt w:val="decimal"/>
      <w:lvlText w:val="%4."/>
      <w:lvlJc w:val="left"/>
      <w:pPr>
        <w:tabs>
          <w:tab w:val="num" w:pos="2880"/>
        </w:tabs>
        <w:ind w:left="2880" w:hanging="360"/>
      </w:pPr>
    </w:lvl>
    <w:lvl w:ilvl="4" w:tplc="A9D277A0" w:tentative="1">
      <w:start w:val="1"/>
      <w:numFmt w:val="decimal"/>
      <w:lvlText w:val="%5."/>
      <w:lvlJc w:val="left"/>
      <w:pPr>
        <w:tabs>
          <w:tab w:val="num" w:pos="3600"/>
        </w:tabs>
        <w:ind w:left="3600" w:hanging="360"/>
      </w:pPr>
    </w:lvl>
    <w:lvl w:ilvl="5" w:tplc="AB440490" w:tentative="1">
      <w:start w:val="1"/>
      <w:numFmt w:val="decimal"/>
      <w:lvlText w:val="%6."/>
      <w:lvlJc w:val="left"/>
      <w:pPr>
        <w:tabs>
          <w:tab w:val="num" w:pos="4320"/>
        </w:tabs>
        <w:ind w:left="4320" w:hanging="360"/>
      </w:pPr>
    </w:lvl>
    <w:lvl w:ilvl="6" w:tplc="5D501A5E" w:tentative="1">
      <w:start w:val="1"/>
      <w:numFmt w:val="decimal"/>
      <w:lvlText w:val="%7."/>
      <w:lvlJc w:val="left"/>
      <w:pPr>
        <w:tabs>
          <w:tab w:val="num" w:pos="5040"/>
        </w:tabs>
        <w:ind w:left="5040" w:hanging="360"/>
      </w:pPr>
    </w:lvl>
    <w:lvl w:ilvl="7" w:tplc="0ABAF3D8" w:tentative="1">
      <w:start w:val="1"/>
      <w:numFmt w:val="decimal"/>
      <w:lvlText w:val="%8."/>
      <w:lvlJc w:val="left"/>
      <w:pPr>
        <w:tabs>
          <w:tab w:val="num" w:pos="5760"/>
        </w:tabs>
        <w:ind w:left="5760" w:hanging="360"/>
      </w:pPr>
    </w:lvl>
    <w:lvl w:ilvl="8" w:tplc="3AC85268" w:tentative="1">
      <w:start w:val="1"/>
      <w:numFmt w:val="decimal"/>
      <w:lvlText w:val="%9."/>
      <w:lvlJc w:val="left"/>
      <w:pPr>
        <w:tabs>
          <w:tab w:val="num" w:pos="6480"/>
        </w:tabs>
        <w:ind w:left="6480" w:hanging="360"/>
      </w:pPr>
    </w:lvl>
  </w:abstractNum>
  <w:abstractNum w:abstractNumId="1" w15:restartNumberingAfterBreak="0">
    <w:nsid w:val="066C1FBD"/>
    <w:multiLevelType w:val="hybridMultilevel"/>
    <w:tmpl w:val="7230F750"/>
    <w:lvl w:ilvl="0" w:tplc="A3F697AC">
      <w:start w:val="1"/>
      <w:numFmt w:val="decimal"/>
      <w:lvlText w:val="%1)"/>
      <w:lvlJc w:val="left"/>
      <w:pPr>
        <w:ind w:left="360" w:hanging="360"/>
      </w:pPr>
      <w:rPr>
        <w:rFonts w:cs="Times New Roman" w:hint="default"/>
      </w:rPr>
    </w:lvl>
    <w:lvl w:ilvl="1" w:tplc="B9B85940">
      <w:start w:val="1"/>
      <w:numFmt w:val="lowerLetter"/>
      <w:lvlText w:val="%2)"/>
      <w:lvlJc w:val="left"/>
      <w:pPr>
        <w:ind w:left="720" w:hanging="360"/>
      </w:pPr>
      <w:rPr>
        <w:rFonts w:ascii="Arial" w:eastAsia="Times New Roman" w:hAnsi="Arial" w:cs="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4B04AA"/>
    <w:multiLevelType w:val="hybridMultilevel"/>
    <w:tmpl w:val="BCBAB082"/>
    <w:lvl w:ilvl="0" w:tplc="60D2B4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6306"/>
    <w:multiLevelType w:val="hybridMultilevel"/>
    <w:tmpl w:val="D06C518A"/>
    <w:lvl w:ilvl="0" w:tplc="04090011">
      <w:start w:val="1"/>
      <w:numFmt w:val="decimal"/>
      <w:lvlText w:val="%1)"/>
      <w:lvlJc w:val="left"/>
      <w:pPr>
        <w:ind w:left="360" w:hanging="360"/>
      </w:pPr>
      <w:rPr>
        <w:rFonts w:cs="Times New Roman" w:hint="default"/>
      </w:rPr>
    </w:lvl>
    <w:lvl w:ilvl="1" w:tplc="B9B85940">
      <w:start w:val="1"/>
      <w:numFmt w:val="lowerLetter"/>
      <w:lvlText w:val="%2)"/>
      <w:lvlJc w:val="left"/>
      <w:pPr>
        <w:ind w:left="720" w:hanging="360"/>
      </w:pPr>
      <w:rPr>
        <w:rFonts w:ascii="Arial" w:eastAsia="Times New Roman" w:hAnsi="Arial" w:cs="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A0E3E22"/>
    <w:multiLevelType w:val="hybridMultilevel"/>
    <w:tmpl w:val="9E44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7B"/>
    <w:multiLevelType w:val="hybridMultilevel"/>
    <w:tmpl w:val="766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033"/>
    <w:multiLevelType w:val="hybridMultilevel"/>
    <w:tmpl w:val="68E6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C478A"/>
    <w:multiLevelType w:val="multilevel"/>
    <w:tmpl w:val="DDA48DFC"/>
    <w:lvl w:ilvl="0">
      <w:start w:val="1"/>
      <w:numFmt w:val="decimal"/>
      <w:lvlText w:val="%1)"/>
      <w:lvlJc w:val="left"/>
      <w:pPr>
        <w:tabs>
          <w:tab w:val="num" w:pos="360"/>
        </w:tabs>
        <w:ind w:left="360" w:hanging="360"/>
      </w:pPr>
      <w:rPr>
        <w:rFonts w:cs="Times New Roman" w:hint="default"/>
        <w:sz w:val="24"/>
        <w:szCs w:val="24"/>
        <w:u w:val="none"/>
      </w:rPr>
    </w:lvl>
    <w:lvl w:ilvl="1">
      <w:start w:val="1"/>
      <w:numFmt w:val="lowerLetter"/>
      <w:lvlText w:val="%2)"/>
      <w:lvlJc w:val="left"/>
      <w:pPr>
        <w:tabs>
          <w:tab w:val="num" w:pos="720"/>
        </w:tabs>
        <w:ind w:left="720" w:hanging="360"/>
      </w:pPr>
      <w:rPr>
        <w:rFonts w:ascii="Arial" w:eastAsia="Times New Roman" w:hAnsi="Arial" w:cs="Aria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11368E3"/>
    <w:multiLevelType w:val="hybridMultilevel"/>
    <w:tmpl w:val="1C0A0672"/>
    <w:lvl w:ilvl="0" w:tplc="3E7C7DAC">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62827CA"/>
    <w:multiLevelType w:val="multilevel"/>
    <w:tmpl w:val="0409001D"/>
    <w:lvl w:ilvl="0">
      <w:start w:val="1"/>
      <w:numFmt w:val="decimal"/>
      <w:lvlText w:val="%1)"/>
      <w:lvlJc w:val="left"/>
      <w:pPr>
        <w:ind w:left="720" w:hanging="360"/>
      </w:pPr>
      <w:rPr>
        <w:rFonts w:cs="Times New Roman" w:hint="default"/>
        <w:sz w:val="24"/>
        <w:szCs w:val="24"/>
        <w:u w:val="none"/>
      </w:rPr>
    </w:lvl>
    <w:lvl w:ilvl="1">
      <w:start w:val="1"/>
      <w:numFmt w:val="lowerLetter"/>
      <w:lvlText w:val="%2)"/>
      <w:lvlJc w:val="left"/>
      <w:pPr>
        <w:ind w:left="1440" w:hanging="360"/>
      </w:pPr>
      <w:rPr>
        <w:rFonts w:cs="Times New Roman" w:hint="default"/>
        <w:sz w:val="24"/>
        <w:szCs w:val="24"/>
      </w:rPr>
    </w:lvl>
    <w:lvl w:ilvl="2">
      <w:start w:val="1"/>
      <w:numFmt w:val="lowerRoman"/>
      <w:lvlText w:val="%3)"/>
      <w:lvlJc w:val="left"/>
      <w:pPr>
        <w:ind w:left="1440" w:hanging="360"/>
      </w:pPr>
      <w:rPr>
        <w:rFonts w:cs="Times New Roman" w:hint="default"/>
        <w:sz w:val="20"/>
      </w:rPr>
    </w:lvl>
    <w:lvl w:ilvl="3">
      <w:start w:val="1"/>
      <w:numFmt w:val="decimal"/>
      <w:lvlText w:val="(%4)"/>
      <w:lvlJc w:val="left"/>
      <w:pPr>
        <w:ind w:left="1800" w:hanging="360"/>
      </w:pPr>
      <w:rPr>
        <w:rFonts w:cs="Times New Roman" w:hint="default"/>
        <w:sz w:val="20"/>
      </w:rPr>
    </w:lvl>
    <w:lvl w:ilvl="4">
      <w:start w:val="1"/>
      <w:numFmt w:val="lowerLetter"/>
      <w:lvlText w:val="(%5)"/>
      <w:lvlJc w:val="left"/>
      <w:pPr>
        <w:ind w:left="2160" w:hanging="360"/>
      </w:pPr>
      <w:rPr>
        <w:rFonts w:cs="Times New Roman" w:hint="default"/>
        <w:sz w:val="20"/>
      </w:rPr>
    </w:lvl>
    <w:lvl w:ilvl="5">
      <w:start w:val="1"/>
      <w:numFmt w:val="lowerRoman"/>
      <w:lvlText w:val="(%6)"/>
      <w:lvlJc w:val="left"/>
      <w:pPr>
        <w:ind w:left="2520" w:hanging="360"/>
      </w:pPr>
      <w:rPr>
        <w:rFonts w:cs="Times New Roman" w:hint="default"/>
        <w:sz w:val="20"/>
      </w:rPr>
    </w:lvl>
    <w:lvl w:ilvl="6">
      <w:start w:val="1"/>
      <w:numFmt w:val="decimal"/>
      <w:lvlText w:val="%7."/>
      <w:lvlJc w:val="left"/>
      <w:pPr>
        <w:ind w:left="2880" w:hanging="360"/>
      </w:pPr>
      <w:rPr>
        <w:rFonts w:cs="Times New Roman" w:hint="default"/>
        <w:sz w:val="20"/>
      </w:rPr>
    </w:lvl>
    <w:lvl w:ilvl="7">
      <w:start w:val="1"/>
      <w:numFmt w:val="lowerLetter"/>
      <w:lvlText w:val="%8."/>
      <w:lvlJc w:val="left"/>
      <w:pPr>
        <w:ind w:left="3240" w:hanging="360"/>
      </w:pPr>
      <w:rPr>
        <w:rFonts w:cs="Times New Roman" w:hint="default"/>
        <w:sz w:val="20"/>
      </w:rPr>
    </w:lvl>
    <w:lvl w:ilvl="8">
      <w:start w:val="1"/>
      <w:numFmt w:val="lowerRoman"/>
      <w:lvlText w:val="%9."/>
      <w:lvlJc w:val="left"/>
      <w:pPr>
        <w:ind w:left="3600" w:hanging="360"/>
      </w:pPr>
      <w:rPr>
        <w:rFonts w:cs="Times New Roman" w:hint="default"/>
        <w:sz w:val="20"/>
      </w:rPr>
    </w:lvl>
  </w:abstractNum>
  <w:abstractNum w:abstractNumId="10" w15:restartNumberingAfterBreak="0">
    <w:nsid w:val="7B5A00AD"/>
    <w:multiLevelType w:val="hybridMultilevel"/>
    <w:tmpl w:val="497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396985">
    <w:abstractNumId w:val="7"/>
  </w:num>
  <w:num w:numId="2" w16cid:durableId="1725593158">
    <w:abstractNumId w:val="9"/>
  </w:num>
  <w:num w:numId="3" w16cid:durableId="949244038">
    <w:abstractNumId w:val="1"/>
  </w:num>
  <w:num w:numId="4" w16cid:durableId="1889489387">
    <w:abstractNumId w:val="3"/>
  </w:num>
  <w:num w:numId="5" w16cid:durableId="1631086680">
    <w:abstractNumId w:val="8"/>
  </w:num>
  <w:num w:numId="6" w16cid:durableId="1700156959">
    <w:abstractNumId w:val="5"/>
  </w:num>
  <w:num w:numId="7" w16cid:durableId="115834846">
    <w:abstractNumId w:val="6"/>
  </w:num>
  <w:num w:numId="8" w16cid:durableId="1538351681">
    <w:abstractNumId w:val="2"/>
  </w:num>
  <w:num w:numId="9" w16cid:durableId="818766595">
    <w:abstractNumId w:val="0"/>
  </w:num>
  <w:num w:numId="10" w16cid:durableId="372845897">
    <w:abstractNumId w:val="10"/>
  </w:num>
  <w:num w:numId="11" w16cid:durableId="2002924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71"/>
    <w:rsid w:val="00137977"/>
    <w:rsid w:val="00215929"/>
    <w:rsid w:val="00316596"/>
    <w:rsid w:val="00422471"/>
    <w:rsid w:val="004B0622"/>
    <w:rsid w:val="005D0266"/>
    <w:rsid w:val="00632FA5"/>
    <w:rsid w:val="00756239"/>
    <w:rsid w:val="007D4D25"/>
    <w:rsid w:val="007E56C4"/>
    <w:rsid w:val="00862962"/>
    <w:rsid w:val="008B693C"/>
    <w:rsid w:val="009007DE"/>
    <w:rsid w:val="009354A7"/>
    <w:rsid w:val="009A73EB"/>
    <w:rsid w:val="00A053B2"/>
    <w:rsid w:val="00D0586F"/>
    <w:rsid w:val="00D51EA5"/>
    <w:rsid w:val="00D66AD0"/>
    <w:rsid w:val="00D92CB3"/>
    <w:rsid w:val="00DA2C84"/>
    <w:rsid w:val="00DB0454"/>
    <w:rsid w:val="00DD3283"/>
    <w:rsid w:val="00DE1AC1"/>
    <w:rsid w:val="00EA4141"/>
    <w:rsid w:val="00F86334"/>
    <w:rsid w:val="00FD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A7C1"/>
  <w15:chartTrackingRefBased/>
  <w15:docId w15:val="{1D618A55-2A3D-4678-8912-97176A57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7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2471"/>
    <w:rPr>
      <w:rFonts w:cs="Times New Roman"/>
      <w:color w:val="0000FF"/>
      <w:u w:val="single"/>
    </w:rPr>
  </w:style>
  <w:style w:type="paragraph" w:styleId="NormalWeb">
    <w:name w:val="Normal (Web)"/>
    <w:basedOn w:val="Normal"/>
    <w:uiPriority w:val="99"/>
    <w:rsid w:val="00422471"/>
    <w:pPr>
      <w:spacing w:before="100" w:beforeAutospacing="1" w:after="100" w:afterAutospacing="1"/>
    </w:pPr>
    <w:rPr>
      <w:sz w:val="24"/>
      <w:szCs w:val="24"/>
    </w:rPr>
  </w:style>
  <w:style w:type="character" w:styleId="Strong">
    <w:name w:val="Strong"/>
    <w:basedOn w:val="DefaultParagraphFont"/>
    <w:uiPriority w:val="99"/>
    <w:qFormat/>
    <w:rsid w:val="00422471"/>
    <w:rPr>
      <w:rFonts w:cs="Times New Roman"/>
      <w:b/>
      <w:bCs/>
    </w:rPr>
  </w:style>
  <w:style w:type="paragraph" w:styleId="ListParagraph">
    <w:name w:val="List Paragraph"/>
    <w:basedOn w:val="Normal"/>
    <w:uiPriority w:val="34"/>
    <w:qFormat/>
    <w:rsid w:val="00215929"/>
    <w:pPr>
      <w:ind w:left="720"/>
      <w:contextualSpacing/>
    </w:pPr>
  </w:style>
  <w:style w:type="character" w:styleId="UnresolvedMention">
    <w:name w:val="Unresolved Mention"/>
    <w:basedOn w:val="DefaultParagraphFont"/>
    <w:uiPriority w:val="99"/>
    <w:semiHidden/>
    <w:unhideWhenUsed/>
    <w:rsid w:val="00DB0454"/>
    <w:rPr>
      <w:color w:val="605E5C"/>
      <w:shd w:val="clear" w:color="auto" w:fill="E1DFDD"/>
    </w:rPr>
  </w:style>
  <w:style w:type="paragraph" w:styleId="Header">
    <w:name w:val="header"/>
    <w:basedOn w:val="Normal"/>
    <w:link w:val="HeaderChar"/>
    <w:uiPriority w:val="99"/>
    <w:unhideWhenUsed/>
    <w:rsid w:val="005D02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0266"/>
  </w:style>
  <w:style w:type="paragraph" w:styleId="Footer">
    <w:name w:val="footer"/>
    <w:basedOn w:val="Normal"/>
    <w:link w:val="FooterChar"/>
    <w:uiPriority w:val="99"/>
    <w:unhideWhenUsed/>
    <w:rsid w:val="00862962"/>
    <w:pPr>
      <w:tabs>
        <w:tab w:val="center" w:pos="4680"/>
        <w:tab w:val="right" w:pos="9360"/>
      </w:tabs>
    </w:pPr>
  </w:style>
  <w:style w:type="character" w:customStyle="1" w:styleId="FooterChar">
    <w:name w:val="Footer Char"/>
    <w:basedOn w:val="DefaultParagraphFont"/>
    <w:link w:val="Footer"/>
    <w:uiPriority w:val="99"/>
    <w:rsid w:val="008629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0597">
      <w:bodyDiv w:val="1"/>
      <w:marLeft w:val="0"/>
      <w:marRight w:val="0"/>
      <w:marTop w:val="0"/>
      <w:marBottom w:val="0"/>
      <w:divBdr>
        <w:top w:val="none" w:sz="0" w:space="0" w:color="auto"/>
        <w:left w:val="none" w:sz="0" w:space="0" w:color="auto"/>
        <w:bottom w:val="none" w:sz="0" w:space="0" w:color="auto"/>
        <w:right w:val="none" w:sz="0" w:space="0" w:color="auto"/>
      </w:divBdr>
      <w:divsChild>
        <w:div w:id="32849495">
          <w:marLeft w:val="403"/>
          <w:marRight w:val="0"/>
          <w:marTop w:val="115"/>
          <w:marBottom w:val="0"/>
          <w:divBdr>
            <w:top w:val="none" w:sz="0" w:space="0" w:color="auto"/>
            <w:left w:val="none" w:sz="0" w:space="0" w:color="auto"/>
            <w:bottom w:val="none" w:sz="0" w:space="0" w:color="auto"/>
            <w:right w:val="none" w:sz="0" w:space="0" w:color="auto"/>
          </w:divBdr>
        </w:div>
        <w:div w:id="1095246946">
          <w:marLeft w:val="403"/>
          <w:marRight w:val="0"/>
          <w:marTop w:val="115"/>
          <w:marBottom w:val="0"/>
          <w:divBdr>
            <w:top w:val="none" w:sz="0" w:space="0" w:color="auto"/>
            <w:left w:val="none" w:sz="0" w:space="0" w:color="auto"/>
            <w:bottom w:val="none" w:sz="0" w:space="0" w:color="auto"/>
            <w:right w:val="none" w:sz="0" w:space="0" w:color="auto"/>
          </w:divBdr>
        </w:div>
        <w:div w:id="653221717">
          <w:marLeft w:val="403"/>
          <w:marRight w:val="0"/>
          <w:marTop w:val="115"/>
          <w:marBottom w:val="0"/>
          <w:divBdr>
            <w:top w:val="none" w:sz="0" w:space="0" w:color="auto"/>
            <w:left w:val="none" w:sz="0" w:space="0" w:color="auto"/>
            <w:bottom w:val="none" w:sz="0" w:space="0" w:color="auto"/>
            <w:right w:val="none" w:sz="0" w:space="0" w:color="auto"/>
          </w:divBdr>
        </w:div>
        <w:div w:id="1322469645">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breach/wizard_breach.jsf?faces-redirect=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kinscoie.com/en/news-insights/security-breach-notification-chart.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administrative/breachnotificationrule/brinstructio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crportal.hhs.gov/ocr/breach/wizard_breach.jsf?faces-redirect=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hs.gov/ocr/privacy/hipaa/administrative/breachnotificationrule/brinstruc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Simons</dc:creator>
  <cp:keywords/>
  <dc:description/>
  <cp:lastModifiedBy>Gwen Simons</cp:lastModifiedBy>
  <cp:revision>17</cp:revision>
  <dcterms:created xsi:type="dcterms:W3CDTF">2023-01-27T13:37:00Z</dcterms:created>
  <dcterms:modified xsi:type="dcterms:W3CDTF">2023-01-27T17:57:00Z</dcterms:modified>
</cp:coreProperties>
</file>